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696A0F" w14:textId="77777777" w:rsidR="00D37B05" w:rsidRDefault="00483A77" w:rsidP="00D37B05">
      <w:pPr>
        <w:rPr>
          <w:sz w:val="24"/>
          <w:szCs w:val="24"/>
        </w:rPr>
      </w:pPr>
      <w:bookmarkStart w:id="0" w:name="_Hlk34640181"/>
      <w:r>
        <w:rPr>
          <w:sz w:val="24"/>
          <w:szCs w:val="24"/>
        </w:rPr>
        <w:t xml:space="preserve">            </w:t>
      </w:r>
    </w:p>
    <w:p w14:paraId="3B16B4FD" w14:textId="77777777" w:rsidR="005D32A6" w:rsidRPr="005054BE" w:rsidRDefault="005D32A6" w:rsidP="00D37B05">
      <w:pPr>
        <w:rPr>
          <w:sz w:val="24"/>
          <w:szCs w:val="24"/>
        </w:rPr>
        <w:sectPr w:rsidR="005D32A6" w:rsidRPr="005054BE" w:rsidSect="009E708C">
          <w:headerReference w:type="even" r:id="rId8"/>
          <w:headerReference w:type="default" r:id="rId9"/>
          <w:footerReference w:type="default" r:id="rId10"/>
          <w:headerReference w:type="first" r:id="rId11"/>
          <w:pgSz w:w="12240" w:h="15840" w:code="1"/>
          <w:pgMar w:top="1440" w:right="1440" w:bottom="1440" w:left="1440" w:header="720" w:footer="720" w:gutter="0"/>
          <w:cols w:space="720"/>
          <w:titlePg/>
          <w:docGrid w:linePitch="272"/>
        </w:sectPr>
      </w:pPr>
    </w:p>
    <w:bookmarkEnd w:id="0"/>
    <w:p w14:paraId="082D8999" w14:textId="066DE283" w:rsidR="002415ED" w:rsidRDefault="00B248DF" w:rsidP="00146959">
      <w:pPr>
        <w:rPr>
          <w:bCs/>
          <w:sz w:val="24"/>
          <w:szCs w:val="24"/>
        </w:rPr>
      </w:pPr>
      <w:r w:rsidRPr="005054BE">
        <w:rPr>
          <w:b/>
          <w:sz w:val="24"/>
          <w:szCs w:val="24"/>
        </w:rPr>
        <w:t>TO:</w:t>
      </w:r>
      <w:r w:rsidRPr="005054BE">
        <w:rPr>
          <w:b/>
          <w:sz w:val="24"/>
          <w:szCs w:val="24"/>
        </w:rPr>
        <w:tab/>
      </w:r>
      <w:r w:rsidRPr="005054BE">
        <w:rPr>
          <w:b/>
          <w:sz w:val="24"/>
          <w:szCs w:val="24"/>
        </w:rPr>
        <w:tab/>
      </w:r>
      <w:r w:rsidR="0055112D">
        <w:rPr>
          <w:bCs/>
          <w:sz w:val="24"/>
          <w:szCs w:val="24"/>
        </w:rPr>
        <w:t xml:space="preserve">Chairman </w:t>
      </w:r>
      <w:r w:rsidR="00146959">
        <w:rPr>
          <w:bCs/>
          <w:sz w:val="24"/>
          <w:szCs w:val="24"/>
        </w:rPr>
        <w:t>Peter Lake</w:t>
      </w:r>
    </w:p>
    <w:p w14:paraId="40976FE4" w14:textId="2291FEAD" w:rsidR="00146959" w:rsidRDefault="00146959" w:rsidP="00146959">
      <w:pPr>
        <w:rPr>
          <w:bCs/>
          <w:sz w:val="24"/>
          <w:szCs w:val="24"/>
        </w:rPr>
      </w:pPr>
      <w:r>
        <w:rPr>
          <w:bCs/>
          <w:sz w:val="24"/>
          <w:szCs w:val="24"/>
        </w:rPr>
        <w:tab/>
      </w:r>
      <w:r>
        <w:rPr>
          <w:bCs/>
          <w:sz w:val="24"/>
          <w:szCs w:val="24"/>
        </w:rPr>
        <w:tab/>
        <w:t>Commissioner Will McAdams</w:t>
      </w:r>
    </w:p>
    <w:p w14:paraId="55E3F1C9" w14:textId="7D7AE3B2" w:rsidR="004637A6" w:rsidRDefault="004637A6" w:rsidP="00146959">
      <w:pPr>
        <w:rPr>
          <w:bCs/>
          <w:sz w:val="24"/>
          <w:szCs w:val="24"/>
        </w:rPr>
      </w:pPr>
      <w:r>
        <w:rPr>
          <w:bCs/>
          <w:sz w:val="24"/>
          <w:szCs w:val="24"/>
        </w:rPr>
        <w:tab/>
      </w:r>
      <w:r>
        <w:rPr>
          <w:bCs/>
          <w:sz w:val="24"/>
          <w:szCs w:val="24"/>
        </w:rPr>
        <w:tab/>
        <w:t>Commissioner Lori Cobos</w:t>
      </w:r>
    </w:p>
    <w:p w14:paraId="6E7E1F98" w14:textId="662B00AD" w:rsidR="00BB3495" w:rsidRPr="005054BE" w:rsidRDefault="00BB3495" w:rsidP="00146959">
      <w:pPr>
        <w:rPr>
          <w:b/>
          <w:sz w:val="24"/>
          <w:szCs w:val="24"/>
        </w:rPr>
      </w:pPr>
      <w:r>
        <w:rPr>
          <w:bCs/>
          <w:sz w:val="24"/>
          <w:szCs w:val="24"/>
        </w:rPr>
        <w:tab/>
      </w:r>
      <w:r>
        <w:rPr>
          <w:bCs/>
          <w:sz w:val="24"/>
          <w:szCs w:val="24"/>
        </w:rPr>
        <w:tab/>
        <w:t>Commissioner Jimmy Glotfelty</w:t>
      </w:r>
    </w:p>
    <w:p w14:paraId="76EF675C" w14:textId="12209792" w:rsidR="00146959" w:rsidRPr="00146959" w:rsidRDefault="00B248DF" w:rsidP="004637A6">
      <w:pPr>
        <w:spacing w:before="240"/>
        <w:ind w:left="1440" w:hanging="1440"/>
        <w:rPr>
          <w:bCs/>
          <w:sz w:val="24"/>
          <w:szCs w:val="24"/>
        </w:rPr>
      </w:pPr>
      <w:r w:rsidRPr="005054BE">
        <w:rPr>
          <w:b/>
          <w:sz w:val="24"/>
          <w:szCs w:val="24"/>
        </w:rPr>
        <w:t>FROM:</w:t>
      </w:r>
      <w:r w:rsidR="00150FA6" w:rsidRPr="005054BE">
        <w:rPr>
          <w:b/>
          <w:sz w:val="24"/>
          <w:szCs w:val="24"/>
        </w:rPr>
        <w:tab/>
      </w:r>
      <w:r w:rsidR="004637A6">
        <w:rPr>
          <w:sz w:val="24"/>
          <w:szCs w:val="24"/>
        </w:rPr>
        <w:t>Rebecca Zerwas</w:t>
      </w:r>
      <w:r w:rsidR="00146959" w:rsidRPr="00146959">
        <w:rPr>
          <w:bCs/>
          <w:sz w:val="24"/>
          <w:szCs w:val="24"/>
        </w:rPr>
        <w:t>, Market Analysis</w:t>
      </w:r>
    </w:p>
    <w:p w14:paraId="02A6954C" w14:textId="7822FBA3" w:rsidR="00D37B05" w:rsidRPr="005054BE" w:rsidRDefault="00D37B05" w:rsidP="00D37B05">
      <w:pPr>
        <w:tabs>
          <w:tab w:val="left" w:pos="1170"/>
        </w:tabs>
        <w:spacing w:before="240"/>
        <w:rPr>
          <w:sz w:val="24"/>
          <w:szCs w:val="24"/>
        </w:rPr>
      </w:pPr>
      <w:r w:rsidRPr="00613892">
        <w:rPr>
          <w:b/>
          <w:sz w:val="24"/>
          <w:szCs w:val="24"/>
        </w:rPr>
        <w:t>DATE:</w:t>
      </w:r>
      <w:r w:rsidRPr="00613892">
        <w:rPr>
          <w:b/>
          <w:sz w:val="24"/>
          <w:szCs w:val="24"/>
        </w:rPr>
        <w:tab/>
      </w:r>
      <w:r w:rsidRPr="00613892">
        <w:rPr>
          <w:b/>
          <w:sz w:val="24"/>
          <w:szCs w:val="24"/>
        </w:rPr>
        <w:tab/>
      </w:r>
      <w:r w:rsidR="00AE3861">
        <w:rPr>
          <w:bCs/>
          <w:sz w:val="24"/>
          <w:szCs w:val="24"/>
        </w:rPr>
        <w:t>December 1</w:t>
      </w:r>
      <w:r w:rsidR="0065112C">
        <w:rPr>
          <w:bCs/>
          <w:sz w:val="24"/>
          <w:szCs w:val="24"/>
        </w:rPr>
        <w:t>5</w:t>
      </w:r>
      <w:r w:rsidR="00247BC9">
        <w:rPr>
          <w:bCs/>
          <w:sz w:val="24"/>
          <w:szCs w:val="24"/>
        </w:rPr>
        <w:t xml:space="preserve">, </w:t>
      </w:r>
      <w:r w:rsidR="006C2B11" w:rsidRPr="00613892">
        <w:rPr>
          <w:sz w:val="24"/>
          <w:szCs w:val="24"/>
        </w:rPr>
        <w:t>202</w:t>
      </w:r>
      <w:r w:rsidR="00146959">
        <w:rPr>
          <w:sz w:val="24"/>
          <w:szCs w:val="24"/>
        </w:rPr>
        <w:t>1</w:t>
      </w:r>
      <w:r w:rsidRPr="005054BE">
        <w:rPr>
          <w:sz w:val="24"/>
          <w:szCs w:val="24"/>
        </w:rPr>
        <w:br/>
      </w:r>
    </w:p>
    <w:p w14:paraId="4BBA3157" w14:textId="19F79C08" w:rsidR="003F746F" w:rsidRPr="005054BE" w:rsidRDefault="00D37B05" w:rsidP="003F746F">
      <w:pPr>
        <w:ind w:left="1440" w:right="-450" w:hanging="1440"/>
        <w:jc w:val="both"/>
        <w:rPr>
          <w:sz w:val="24"/>
          <w:szCs w:val="24"/>
        </w:rPr>
      </w:pPr>
      <w:r w:rsidRPr="005054BE">
        <w:rPr>
          <w:b/>
          <w:sz w:val="24"/>
          <w:szCs w:val="24"/>
        </w:rPr>
        <w:t>RE:</w:t>
      </w:r>
      <w:r w:rsidRPr="005054BE">
        <w:rPr>
          <w:b/>
          <w:sz w:val="24"/>
          <w:szCs w:val="24"/>
        </w:rPr>
        <w:tab/>
      </w:r>
      <w:r w:rsidR="00AE3861">
        <w:rPr>
          <w:sz w:val="24"/>
          <w:szCs w:val="24"/>
        </w:rPr>
        <w:t>December 16</w:t>
      </w:r>
      <w:r w:rsidR="00782CEE">
        <w:rPr>
          <w:sz w:val="24"/>
          <w:szCs w:val="24"/>
        </w:rPr>
        <w:t xml:space="preserve">, </w:t>
      </w:r>
      <w:proofErr w:type="gramStart"/>
      <w:r w:rsidR="00782CEE">
        <w:rPr>
          <w:sz w:val="24"/>
          <w:szCs w:val="24"/>
        </w:rPr>
        <w:t>202</w:t>
      </w:r>
      <w:r w:rsidR="00146959">
        <w:rPr>
          <w:sz w:val="24"/>
          <w:szCs w:val="24"/>
        </w:rPr>
        <w:t>1</w:t>
      </w:r>
      <w:proofErr w:type="gramEnd"/>
      <w:r w:rsidRPr="005054BE">
        <w:rPr>
          <w:sz w:val="24"/>
          <w:szCs w:val="24"/>
        </w:rPr>
        <w:t xml:space="preserve"> </w:t>
      </w:r>
      <w:r w:rsidR="009079C2" w:rsidRPr="005054BE">
        <w:rPr>
          <w:sz w:val="24"/>
          <w:szCs w:val="24"/>
        </w:rPr>
        <w:t xml:space="preserve">Open Meeting </w:t>
      </w:r>
      <w:r w:rsidRPr="005054BE">
        <w:rPr>
          <w:sz w:val="24"/>
          <w:szCs w:val="24"/>
        </w:rPr>
        <w:t>–</w:t>
      </w:r>
      <w:r w:rsidR="003F746F" w:rsidRPr="005054BE">
        <w:rPr>
          <w:sz w:val="24"/>
          <w:szCs w:val="24"/>
        </w:rPr>
        <w:t xml:space="preserve"> </w:t>
      </w:r>
      <w:r w:rsidRPr="005054BE">
        <w:rPr>
          <w:sz w:val="24"/>
          <w:szCs w:val="24"/>
        </w:rPr>
        <w:t>Item No.</w:t>
      </w:r>
      <w:r w:rsidR="006A324E" w:rsidRPr="005054BE">
        <w:rPr>
          <w:sz w:val="24"/>
          <w:szCs w:val="24"/>
        </w:rPr>
        <w:t xml:space="preserve"> </w:t>
      </w:r>
      <w:r w:rsidR="009B69B2">
        <w:rPr>
          <w:sz w:val="24"/>
          <w:szCs w:val="24"/>
        </w:rPr>
        <w:t>2</w:t>
      </w:r>
      <w:r w:rsidR="00491CF4">
        <w:rPr>
          <w:sz w:val="24"/>
          <w:szCs w:val="24"/>
        </w:rPr>
        <w:t>6</w:t>
      </w:r>
    </w:p>
    <w:p w14:paraId="4103C14E" w14:textId="216A9F6E" w:rsidR="003F746F" w:rsidRDefault="00D37B05" w:rsidP="003F746F">
      <w:pPr>
        <w:spacing w:before="120"/>
        <w:ind w:left="1440" w:hanging="1440"/>
        <w:jc w:val="both"/>
        <w:rPr>
          <w:i/>
          <w:sz w:val="24"/>
          <w:szCs w:val="24"/>
        </w:rPr>
      </w:pPr>
      <w:r w:rsidRPr="005054BE">
        <w:rPr>
          <w:b/>
          <w:sz w:val="24"/>
          <w:szCs w:val="24"/>
        </w:rPr>
        <w:tab/>
      </w:r>
      <w:r w:rsidR="0055112D">
        <w:rPr>
          <w:sz w:val="24"/>
          <w:szCs w:val="24"/>
        </w:rPr>
        <w:t>Project</w:t>
      </w:r>
      <w:r w:rsidR="00A33ABC" w:rsidRPr="005054BE">
        <w:rPr>
          <w:sz w:val="24"/>
          <w:szCs w:val="24"/>
        </w:rPr>
        <w:t xml:space="preserve"> No. </w:t>
      </w:r>
      <w:r w:rsidR="00E65B27" w:rsidRPr="00E65B27">
        <w:rPr>
          <w:sz w:val="24"/>
          <w:szCs w:val="24"/>
        </w:rPr>
        <w:t>52307</w:t>
      </w:r>
      <w:r w:rsidR="00D82814" w:rsidRPr="005054BE">
        <w:rPr>
          <w:sz w:val="24"/>
          <w:szCs w:val="24"/>
        </w:rPr>
        <w:t xml:space="preserve"> </w:t>
      </w:r>
      <w:r w:rsidR="00BF5FBE" w:rsidRPr="005054BE">
        <w:rPr>
          <w:sz w:val="24"/>
          <w:szCs w:val="24"/>
        </w:rPr>
        <w:t>–</w:t>
      </w:r>
      <w:r w:rsidR="00A33ABC" w:rsidRPr="005054BE">
        <w:rPr>
          <w:sz w:val="24"/>
          <w:szCs w:val="24"/>
        </w:rPr>
        <w:t xml:space="preserve"> </w:t>
      </w:r>
      <w:r w:rsidR="0055112D">
        <w:rPr>
          <w:i/>
          <w:sz w:val="24"/>
          <w:szCs w:val="24"/>
        </w:rPr>
        <w:t xml:space="preserve">Review of </w:t>
      </w:r>
      <w:r w:rsidR="00E65B27">
        <w:rPr>
          <w:i/>
          <w:sz w:val="24"/>
          <w:szCs w:val="24"/>
        </w:rPr>
        <w:t>Rules Adopted by the Independent Organization in Calendar Year 2021</w:t>
      </w:r>
      <w:r w:rsidR="00146959">
        <w:rPr>
          <w:i/>
          <w:sz w:val="24"/>
          <w:szCs w:val="24"/>
        </w:rPr>
        <w:t xml:space="preserve"> (</w:t>
      </w:r>
      <w:r w:rsidR="00E65B27">
        <w:rPr>
          <w:i/>
          <w:sz w:val="24"/>
          <w:szCs w:val="24"/>
        </w:rPr>
        <w:t>Discussion and possible action</w:t>
      </w:r>
      <w:r w:rsidR="0055112D">
        <w:rPr>
          <w:i/>
          <w:sz w:val="24"/>
          <w:szCs w:val="24"/>
        </w:rPr>
        <w:t>)</w:t>
      </w:r>
    </w:p>
    <w:p w14:paraId="481BB0FE" w14:textId="77777777" w:rsidR="001924B2" w:rsidRPr="005054BE" w:rsidRDefault="001924B2" w:rsidP="00E863F6">
      <w:pPr>
        <w:pBdr>
          <w:bottom w:val="double" w:sz="6" w:space="1" w:color="auto"/>
        </w:pBdr>
        <w:tabs>
          <w:tab w:val="left" w:pos="1170"/>
        </w:tabs>
        <w:rPr>
          <w:sz w:val="24"/>
          <w:szCs w:val="24"/>
        </w:rPr>
      </w:pPr>
    </w:p>
    <w:p w14:paraId="26F6E86C" w14:textId="77777777" w:rsidR="00837813" w:rsidRDefault="00837813" w:rsidP="00146959">
      <w:pPr>
        <w:pStyle w:val="xxmsonormal"/>
        <w:spacing w:line="360" w:lineRule="auto"/>
        <w:jc w:val="both"/>
        <w:rPr>
          <w:rFonts w:ascii="Times New Roman" w:hAnsi="Times New Roman" w:cs="Times New Roman"/>
          <w:sz w:val="24"/>
          <w:szCs w:val="24"/>
        </w:rPr>
      </w:pPr>
    </w:p>
    <w:p w14:paraId="0B78DBB3" w14:textId="1A7A723E" w:rsidR="002908B4" w:rsidRPr="002908B4" w:rsidRDefault="0056514D" w:rsidP="00146959">
      <w:pPr>
        <w:pStyle w:val="xxmsonormal"/>
        <w:spacing w:line="360" w:lineRule="auto"/>
        <w:jc w:val="both"/>
      </w:pPr>
      <w:r>
        <w:rPr>
          <w:rFonts w:ascii="Times New Roman" w:hAnsi="Times New Roman" w:cs="Times New Roman"/>
          <w:sz w:val="24"/>
          <w:szCs w:val="24"/>
        </w:rPr>
        <w:t>S</w:t>
      </w:r>
      <w:r w:rsidR="006660B6">
        <w:rPr>
          <w:rFonts w:ascii="Times New Roman" w:hAnsi="Times New Roman" w:cs="Times New Roman"/>
          <w:sz w:val="24"/>
          <w:szCs w:val="24"/>
        </w:rPr>
        <w:t>enate Bill (SB) 2</w:t>
      </w:r>
      <w:r w:rsidR="00247BC9">
        <w:rPr>
          <w:rFonts w:ascii="Times New Roman" w:hAnsi="Times New Roman" w:cs="Times New Roman"/>
          <w:sz w:val="24"/>
          <w:szCs w:val="24"/>
        </w:rPr>
        <w:t xml:space="preserve"> (87</w:t>
      </w:r>
      <w:r w:rsidR="00247BC9" w:rsidRPr="00E4515A">
        <w:rPr>
          <w:rFonts w:ascii="Times New Roman" w:hAnsi="Times New Roman" w:cs="Times New Roman"/>
          <w:sz w:val="24"/>
          <w:szCs w:val="24"/>
          <w:vertAlign w:val="superscript"/>
        </w:rPr>
        <w:t>th</w:t>
      </w:r>
      <w:r w:rsidR="00247BC9">
        <w:rPr>
          <w:rFonts w:ascii="Times New Roman" w:hAnsi="Times New Roman" w:cs="Times New Roman"/>
          <w:sz w:val="24"/>
          <w:szCs w:val="24"/>
        </w:rPr>
        <w:t xml:space="preserve"> Legislature, Regular Session)</w:t>
      </w:r>
      <w:r w:rsidR="00837813">
        <w:rPr>
          <w:rFonts w:ascii="Times New Roman" w:hAnsi="Times New Roman" w:cs="Times New Roman"/>
          <w:sz w:val="24"/>
          <w:szCs w:val="24"/>
        </w:rPr>
        <w:t xml:space="preserve"> requires </w:t>
      </w:r>
      <w:r w:rsidR="00765C86">
        <w:rPr>
          <w:rFonts w:ascii="Times New Roman" w:hAnsi="Times New Roman" w:cs="Times New Roman"/>
          <w:sz w:val="24"/>
          <w:szCs w:val="24"/>
        </w:rPr>
        <w:t xml:space="preserve">both the Commission and </w:t>
      </w:r>
      <w:r w:rsidR="00247BC9">
        <w:rPr>
          <w:rFonts w:ascii="Times New Roman" w:hAnsi="Times New Roman" w:cs="Times New Roman"/>
          <w:sz w:val="24"/>
          <w:szCs w:val="24"/>
        </w:rPr>
        <w:t xml:space="preserve">the </w:t>
      </w:r>
      <w:r w:rsidR="00765C86">
        <w:rPr>
          <w:rFonts w:ascii="Times New Roman" w:hAnsi="Times New Roman" w:cs="Times New Roman"/>
          <w:sz w:val="24"/>
          <w:szCs w:val="24"/>
        </w:rPr>
        <w:t xml:space="preserve">Electric Reliability Council of Texas (ERCOT) </w:t>
      </w:r>
      <w:r w:rsidR="00247BC9">
        <w:rPr>
          <w:rFonts w:ascii="Times New Roman" w:hAnsi="Times New Roman" w:cs="Times New Roman"/>
          <w:sz w:val="24"/>
          <w:szCs w:val="24"/>
        </w:rPr>
        <w:t xml:space="preserve">to </w:t>
      </w:r>
      <w:r w:rsidR="00765C86">
        <w:rPr>
          <w:rFonts w:ascii="Times New Roman" w:hAnsi="Times New Roman" w:cs="Times New Roman"/>
          <w:sz w:val="24"/>
          <w:szCs w:val="24"/>
        </w:rPr>
        <w:t xml:space="preserve">establish processes for </w:t>
      </w:r>
      <w:r w:rsidR="000D2604">
        <w:rPr>
          <w:rFonts w:ascii="Times New Roman" w:hAnsi="Times New Roman" w:cs="Times New Roman"/>
          <w:sz w:val="24"/>
          <w:szCs w:val="24"/>
        </w:rPr>
        <w:t xml:space="preserve">Commission </w:t>
      </w:r>
      <w:r w:rsidR="0012314E">
        <w:rPr>
          <w:rFonts w:ascii="Times New Roman" w:hAnsi="Times New Roman" w:cs="Times New Roman"/>
          <w:sz w:val="24"/>
          <w:szCs w:val="24"/>
        </w:rPr>
        <w:t>approva</w:t>
      </w:r>
      <w:r w:rsidR="00532262">
        <w:rPr>
          <w:rFonts w:ascii="Times New Roman" w:hAnsi="Times New Roman" w:cs="Times New Roman"/>
          <w:sz w:val="24"/>
          <w:szCs w:val="24"/>
        </w:rPr>
        <w:t>l</w:t>
      </w:r>
      <w:r w:rsidR="00765C86">
        <w:rPr>
          <w:rFonts w:ascii="Times New Roman" w:hAnsi="Times New Roman" w:cs="Times New Roman"/>
          <w:sz w:val="24"/>
          <w:szCs w:val="24"/>
        </w:rPr>
        <w:t xml:space="preserve"> </w:t>
      </w:r>
      <w:r w:rsidR="0012314E">
        <w:rPr>
          <w:rFonts w:ascii="Times New Roman" w:hAnsi="Times New Roman" w:cs="Times New Roman"/>
          <w:sz w:val="24"/>
          <w:szCs w:val="24"/>
        </w:rPr>
        <w:t xml:space="preserve">of any rules </w:t>
      </w:r>
      <w:r w:rsidR="00A061B4">
        <w:rPr>
          <w:rFonts w:ascii="Times New Roman" w:hAnsi="Times New Roman" w:cs="Times New Roman"/>
          <w:sz w:val="24"/>
          <w:szCs w:val="24"/>
        </w:rPr>
        <w:t xml:space="preserve">or protocols adopted </w:t>
      </w:r>
      <w:r w:rsidR="007F3232" w:rsidRPr="007F3232">
        <w:rPr>
          <w:rFonts w:ascii="Times New Roman" w:hAnsi="Times New Roman" w:cs="Times New Roman"/>
          <w:sz w:val="24"/>
          <w:szCs w:val="24"/>
        </w:rPr>
        <w:t xml:space="preserve">under </w:t>
      </w:r>
      <w:r w:rsidR="00F625E5">
        <w:rPr>
          <w:rFonts w:ascii="Times New Roman" w:hAnsi="Times New Roman" w:cs="Times New Roman"/>
          <w:sz w:val="24"/>
          <w:szCs w:val="24"/>
        </w:rPr>
        <w:t>authority delegated</w:t>
      </w:r>
      <w:r w:rsidR="007F3232" w:rsidRPr="007F3232">
        <w:rPr>
          <w:rFonts w:ascii="Times New Roman" w:hAnsi="Times New Roman" w:cs="Times New Roman"/>
          <w:sz w:val="24"/>
          <w:szCs w:val="24"/>
        </w:rPr>
        <w:t xml:space="preserve"> from the </w:t>
      </w:r>
      <w:r w:rsidR="00035941">
        <w:rPr>
          <w:rFonts w:ascii="Times New Roman" w:hAnsi="Times New Roman" w:cs="Times New Roman"/>
          <w:sz w:val="24"/>
          <w:szCs w:val="24"/>
        </w:rPr>
        <w:t>C</w:t>
      </w:r>
      <w:r w:rsidR="007F3232" w:rsidRPr="007F3232">
        <w:rPr>
          <w:rFonts w:ascii="Times New Roman" w:hAnsi="Times New Roman" w:cs="Times New Roman"/>
          <w:sz w:val="24"/>
          <w:szCs w:val="24"/>
        </w:rPr>
        <w:t xml:space="preserve">ommission </w:t>
      </w:r>
      <w:r w:rsidR="00035941">
        <w:rPr>
          <w:rFonts w:ascii="Times New Roman" w:hAnsi="Times New Roman" w:cs="Times New Roman"/>
          <w:sz w:val="24"/>
          <w:szCs w:val="24"/>
        </w:rPr>
        <w:t xml:space="preserve">to the independent organization. </w:t>
      </w:r>
      <w:r w:rsidR="00F625E5">
        <w:rPr>
          <w:rFonts w:ascii="Times New Roman" w:hAnsi="Times New Roman" w:cs="Times New Roman"/>
          <w:sz w:val="24"/>
          <w:szCs w:val="24"/>
        </w:rPr>
        <w:t xml:space="preserve"> </w:t>
      </w:r>
      <w:r w:rsidR="00A770A5">
        <w:rPr>
          <w:rFonts w:ascii="Times New Roman" w:hAnsi="Times New Roman" w:cs="Times New Roman"/>
          <w:sz w:val="24"/>
          <w:szCs w:val="24"/>
        </w:rPr>
        <w:t>C</w:t>
      </w:r>
      <w:r w:rsidR="00F625E5">
        <w:rPr>
          <w:rFonts w:ascii="Times New Roman" w:hAnsi="Times New Roman" w:cs="Times New Roman"/>
          <w:sz w:val="24"/>
          <w:szCs w:val="24"/>
        </w:rPr>
        <w:t xml:space="preserve">ommission Staff </w:t>
      </w:r>
      <w:r w:rsidR="00184957">
        <w:rPr>
          <w:rFonts w:ascii="Times New Roman" w:hAnsi="Times New Roman" w:cs="Times New Roman"/>
          <w:sz w:val="24"/>
          <w:szCs w:val="24"/>
        </w:rPr>
        <w:t>will utilize</w:t>
      </w:r>
      <w:r w:rsidR="00F625E5">
        <w:rPr>
          <w:rFonts w:ascii="Times New Roman" w:hAnsi="Times New Roman" w:cs="Times New Roman"/>
          <w:sz w:val="24"/>
          <w:szCs w:val="24"/>
        </w:rPr>
        <w:t xml:space="preserve"> </w:t>
      </w:r>
      <w:r w:rsidR="00F625E5" w:rsidRPr="00F625E5">
        <w:rPr>
          <w:rFonts w:ascii="Times New Roman" w:hAnsi="Times New Roman" w:cs="Times New Roman"/>
          <w:sz w:val="24"/>
          <w:szCs w:val="24"/>
        </w:rPr>
        <w:t>Project No. 52307</w:t>
      </w:r>
      <w:r w:rsidR="00F625E5">
        <w:rPr>
          <w:rFonts w:ascii="Times New Roman" w:hAnsi="Times New Roman" w:cs="Times New Roman"/>
          <w:sz w:val="24"/>
          <w:szCs w:val="24"/>
        </w:rPr>
        <w:t xml:space="preserve">, </w:t>
      </w:r>
      <w:r w:rsidR="00F625E5" w:rsidRPr="00881128">
        <w:rPr>
          <w:rFonts w:ascii="Times New Roman" w:hAnsi="Times New Roman" w:cs="Times New Roman"/>
          <w:i/>
          <w:iCs/>
          <w:sz w:val="24"/>
          <w:szCs w:val="24"/>
        </w:rPr>
        <w:t>Review of Rules Adopted by the Independent Organization in Calendar Year 2021</w:t>
      </w:r>
      <w:r w:rsidR="00197E5A">
        <w:rPr>
          <w:rFonts w:ascii="Times New Roman" w:hAnsi="Times New Roman" w:cs="Times New Roman"/>
          <w:sz w:val="24"/>
          <w:szCs w:val="24"/>
        </w:rPr>
        <w:t xml:space="preserve">, </w:t>
      </w:r>
      <w:r w:rsidR="00984AA4">
        <w:rPr>
          <w:rFonts w:ascii="Times New Roman" w:hAnsi="Times New Roman" w:cs="Times New Roman"/>
          <w:sz w:val="24"/>
          <w:szCs w:val="24"/>
        </w:rPr>
        <w:t xml:space="preserve">to facilitate </w:t>
      </w:r>
      <w:r w:rsidR="0076493C">
        <w:rPr>
          <w:rFonts w:ascii="Times New Roman" w:hAnsi="Times New Roman" w:cs="Times New Roman"/>
          <w:sz w:val="24"/>
          <w:szCs w:val="24"/>
        </w:rPr>
        <w:t>this</w:t>
      </w:r>
      <w:r w:rsidR="00031D83">
        <w:rPr>
          <w:rFonts w:ascii="Times New Roman" w:hAnsi="Times New Roman" w:cs="Times New Roman"/>
          <w:sz w:val="24"/>
          <w:szCs w:val="24"/>
        </w:rPr>
        <w:t xml:space="preserve"> review</w:t>
      </w:r>
      <w:r w:rsidR="003C06D1">
        <w:rPr>
          <w:rFonts w:ascii="Times New Roman" w:hAnsi="Times New Roman" w:cs="Times New Roman"/>
          <w:sz w:val="24"/>
          <w:szCs w:val="24"/>
        </w:rPr>
        <w:t xml:space="preserve"> and approval</w:t>
      </w:r>
      <w:r w:rsidR="0049227A">
        <w:rPr>
          <w:rFonts w:ascii="Times New Roman" w:hAnsi="Times New Roman" w:cs="Times New Roman"/>
          <w:sz w:val="24"/>
          <w:szCs w:val="24"/>
        </w:rPr>
        <w:t>.</w:t>
      </w:r>
      <w:r w:rsidR="0006343D">
        <w:rPr>
          <w:rFonts w:ascii="Times New Roman" w:hAnsi="Times New Roman" w:cs="Times New Roman"/>
          <w:sz w:val="24"/>
          <w:szCs w:val="24"/>
        </w:rPr>
        <w:t xml:space="preserve">  Staff continues to </w:t>
      </w:r>
      <w:r w:rsidR="00A84542">
        <w:rPr>
          <w:rFonts w:ascii="Times New Roman" w:hAnsi="Times New Roman" w:cs="Times New Roman"/>
          <w:sz w:val="24"/>
          <w:szCs w:val="24"/>
        </w:rPr>
        <w:t xml:space="preserve">work with ERCOT </w:t>
      </w:r>
      <w:r w:rsidR="00D837C0">
        <w:rPr>
          <w:rFonts w:ascii="Times New Roman" w:hAnsi="Times New Roman" w:cs="Times New Roman"/>
          <w:sz w:val="24"/>
          <w:szCs w:val="24"/>
        </w:rPr>
        <w:t xml:space="preserve">on </w:t>
      </w:r>
      <w:r w:rsidR="00A84542">
        <w:rPr>
          <w:rFonts w:ascii="Times New Roman" w:hAnsi="Times New Roman" w:cs="Times New Roman"/>
          <w:sz w:val="24"/>
          <w:szCs w:val="24"/>
        </w:rPr>
        <w:t xml:space="preserve">amendments to the revision request approval process </w:t>
      </w:r>
      <w:r w:rsidR="00D837C0">
        <w:rPr>
          <w:rFonts w:ascii="Times New Roman" w:hAnsi="Times New Roman" w:cs="Times New Roman"/>
          <w:sz w:val="24"/>
          <w:szCs w:val="24"/>
        </w:rPr>
        <w:t xml:space="preserve">in anticipation </w:t>
      </w:r>
      <w:r w:rsidR="002908B4">
        <w:rPr>
          <w:rFonts w:ascii="Times New Roman" w:hAnsi="Times New Roman" w:cs="Times New Roman"/>
          <w:sz w:val="24"/>
          <w:szCs w:val="24"/>
        </w:rPr>
        <w:t xml:space="preserve">of </w:t>
      </w:r>
      <w:r w:rsidR="00D837C0">
        <w:rPr>
          <w:rFonts w:ascii="Times New Roman" w:hAnsi="Times New Roman" w:cs="Times New Roman"/>
          <w:sz w:val="24"/>
          <w:szCs w:val="24"/>
        </w:rPr>
        <w:t xml:space="preserve">Project No. 52301, </w:t>
      </w:r>
      <w:r w:rsidR="00D837C0" w:rsidRPr="00D837C0">
        <w:rPr>
          <w:rFonts w:ascii="Times New Roman" w:hAnsi="Times New Roman" w:cs="Times New Roman"/>
          <w:i/>
          <w:iCs/>
          <w:sz w:val="24"/>
          <w:szCs w:val="24"/>
        </w:rPr>
        <w:t>ERCOT Governance and Related Issue</w:t>
      </w:r>
      <w:r w:rsidR="0066550C">
        <w:rPr>
          <w:rFonts w:ascii="Times New Roman" w:hAnsi="Times New Roman" w:cs="Times New Roman"/>
          <w:i/>
          <w:iCs/>
          <w:sz w:val="24"/>
          <w:szCs w:val="24"/>
        </w:rPr>
        <w:t>s</w:t>
      </w:r>
      <w:r w:rsidR="0066550C">
        <w:rPr>
          <w:rFonts w:ascii="Times New Roman" w:hAnsi="Times New Roman" w:cs="Times New Roman"/>
          <w:sz w:val="24"/>
          <w:szCs w:val="24"/>
        </w:rPr>
        <w:t xml:space="preserve">, and a </w:t>
      </w:r>
      <w:r w:rsidR="002908B4">
        <w:rPr>
          <w:rFonts w:ascii="Times New Roman" w:hAnsi="Times New Roman" w:cs="Times New Roman"/>
          <w:sz w:val="24"/>
          <w:szCs w:val="24"/>
        </w:rPr>
        <w:t>ful</w:t>
      </w:r>
      <w:r w:rsidR="0066550C">
        <w:rPr>
          <w:rFonts w:ascii="Times New Roman" w:hAnsi="Times New Roman" w:cs="Times New Roman"/>
          <w:sz w:val="24"/>
          <w:szCs w:val="24"/>
        </w:rPr>
        <w:t>l</w:t>
      </w:r>
      <w:r w:rsidR="002908B4">
        <w:rPr>
          <w:rFonts w:ascii="Times New Roman" w:hAnsi="Times New Roman" w:cs="Times New Roman"/>
          <w:sz w:val="24"/>
          <w:szCs w:val="24"/>
        </w:rPr>
        <w:t xml:space="preserve"> </w:t>
      </w:r>
      <w:r w:rsidR="00DC078E">
        <w:rPr>
          <w:rFonts w:ascii="Times New Roman" w:hAnsi="Times New Roman" w:cs="Times New Roman"/>
          <w:sz w:val="24"/>
          <w:szCs w:val="24"/>
        </w:rPr>
        <w:t>implementation</w:t>
      </w:r>
      <w:r w:rsidR="002908B4">
        <w:rPr>
          <w:rFonts w:ascii="Times New Roman" w:hAnsi="Times New Roman" w:cs="Times New Roman"/>
          <w:sz w:val="24"/>
          <w:szCs w:val="24"/>
        </w:rPr>
        <w:t xml:space="preserve"> </w:t>
      </w:r>
      <w:r w:rsidR="0066550C">
        <w:rPr>
          <w:rFonts w:ascii="Times New Roman" w:hAnsi="Times New Roman" w:cs="Times New Roman"/>
          <w:sz w:val="24"/>
          <w:szCs w:val="24"/>
        </w:rPr>
        <w:t xml:space="preserve">of </w:t>
      </w:r>
      <w:r w:rsidR="002908B4">
        <w:rPr>
          <w:rFonts w:ascii="Times New Roman" w:hAnsi="Times New Roman" w:cs="Times New Roman"/>
          <w:sz w:val="24"/>
          <w:szCs w:val="24"/>
        </w:rPr>
        <w:t>SB2</w:t>
      </w:r>
      <w:r w:rsidR="0066550C">
        <w:rPr>
          <w:rFonts w:ascii="Times New Roman" w:hAnsi="Times New Roman" w:cs="Times New Roman"/>
          <w:sz w:val="24"/>
          <w:szCs w:val="24"/>
        </w:rPr>
        <w:t>.</w:t>
      </w:r>
    </w:p>
    <w:p w14:paraId="7862B6FA" w14:textId="77777777" w:rsidR="002908B4" w:rsidRDefault="002908B4" w:rsidP="00146959">
      <w:pPr>
        <w:pStyle w:val="xxmsonormal"/>
        <w:spacing w:line="360" w:lineRule="auto"/>
        <w:jc w:val="both"/>
        <w:rPr>
          <w:rFonts w:ascii="Times New Roman" w:hAnsi="Times New Roman" w:cs="Times New Roman"/>
          <w:sz w:val="24"/>
          <w:szCs w:val="24"/>
        </w:rPr>
      </w:pPr>
    </w:p>
    <w:p w14:paraId="0B66B515" w14:textId="4D92AFF2" w:rsidR="00987D86" w:rsidRDefault="00987D86" w:rsidP="00146959">
      <w:pPr>
        <w:pStyle w:val="xxmsonormal"/>
        <w:spacing w:line="360" w:lineRule="auto"/>
        <w:jc w:val="both"/>
        <w:rPr>
          <w:rFonts w:ascii="Times New Roman" w:hAnsi="Times New Roman" w:cs="Times New Roman"/>
          <w:sz w:val="24"/>
          <w:szCs w:val="24"/>
        </w:rPr>
      </w:pPr>
      <w:r w:rsidRPr="0019406D">
        <w:rPr>
          <w:rFonts w:ascii="Times New Roman" w:hAnsi="Times New Roman" w:cs="Times New Roman"/>
          <w:sz w:val="24"/>
          <w:szCs w:val="24"/>
        </w:rPr>
        <w:t>Since the Commission a</w:t>
      </w:r>
      <w:r w:rsidR="005F67A1" w:rsidRPr="00B27DA8">
        <w:rPr>
          <w:rFonts w:ascii="Times New Roman" w:hAnsi="Times New Roman" w:cs="Times New Roman"/>
          <w:sz w:val="24"/>
          <w:szCs w:val="24"/>
        </w:rPr>
        <w:t>dopted an order ap</w:t>
      </w:r>
      <w:r w:rsidR="005F67A1" w:rsidRPr="005A4554">
        <w:rPr>
          <w:rFonts w:ascii="Times New Roman" w:hAnsi="Times New Roman" w:cs="Times New Roman"/>
          <w:sz w:val="24"/>
          <w:szCs w:val="24"/>
        </w:rPr>
        <w:t>proving</w:t>
      </w:r>
      <w:r w:rsidRPr="00A9488F">
        <w:rPr>
          <w:rFonts w:ascii="Times New Roman" w:hAnsi="Times New Roman" w:cs="Times New Roman"/>
          <w:sz w:val="24"/>
          <w:szCs w:val="24"/>
        </w:rPr>
        <w:t xml:space="preserve"> the </w:t>
      </w:r>
      <w:r w:rsidR="00601E21" w:rsidRPr="005E2C37">
        <w:rPr>
          <w:rFonts w:ascii="Times New Roman" w:hAnsi="Times New Roman" w:cs="Times New Roman"/>
          <w:sz w:val="24"/>
          <w:szCs w:val="24"/>
        </w:rPr>
        <w:t>last</w:t>
      </w:r>
      <w:r w:rsidRPr="005E2C37">
        <w:rPr>
          <w:rFonts w:ascii="Times New Roman" w:hAnsi="Times New Roman" w:cs="Times New Roman"/>
          <w:sz w:val="24"/>
          <w:szCs w:val="24"/>
        </w:rPr>
        <w:t xml:space="preserve"> set of ERCOT rules </w:t>
      </w:r>
      <w:r w:rsidR="008241D5" w:rsidRPr="00093BB5">
        <w:rPr>
          <w:rFonts w:ascii="Times New Roman" w:hAnsi="Times New Roman" w:cs="Times New Roman"/>
          <w:sz w:val="24"/>
          <w:szCs w:val="24"/>
        </w:rPr>
        <w:t xml:space="preserve">at the </w:t>
      </w:r>
      <w:r w:rsidR="00A8563A" w:rsidRPr="00286EF7">
        <w:rPr>
          <w:rFonts w:ascii="Times New Roman" w:hAnsi="Times New Roman" w:cs="Times New Roman"/>
          <w:sz w:val="24"/>
          <w:szCs w:val="24"/>
        </w:rPr>
        <w:t xml:space="preserve">October </w:t>
      </w:r>
      <w:r w:rsidR="00491CF4">
        <w:rPr>
          <w:rFonts w:ascii="Times New Roman" w:hAnsi="Times New Roman" w:cs="Times New Roman"/>
          <w:sz w:val="24"/>
          <w:szCs w:val="24"/>
        </w:rPr>
        <w:t>2</w:t>
      </w:r>
      <w:r w:rsidR="004819CE">
        <w:rPr>
          <w:rFonts w:ascii="Times New Roman" w:hAnsi="Times New Roman" w:cs="Times New Roman"/>
          <w:sz w:val="24"/>
          <w:szCs w:val="24"/>
        </w:rPr>
        <w:t>8</w:t>
      </w:r>
      <w:r w:rsidR="008241D5" w:rsidRPr="00286EF7">
        <w:rPr>
          <w:rFonts w:ascii="Times New Roman" w:hAnsi="Times New Roman" w:cs="Times New Roman"/>
          <w:sz w:val="24"/>
          <w:szCs w:val="24"/>
        </w:rPr>
        <w:t xml:space="preserve">, </w:t>
      </w:r>
      <w:proofErr w:type="gramStart"/>
      <w:r w:rsidR="008241D5" w:rsidRPr="00286EF7">
        <w:rPr>
          <w:rFonts w:ascii="Times New Roman" w:hAnsi="Times New Roman" w:cs="Times New Roman"/>
          <w:sz w:val="24"/>
          <w:szCs w:val="24"/>
        </w:rPr>
        <w:t>2021</w:t>
      </w:r>
      <w:proofErr w:type="gramEnd"/>
      <w:r w:rsidR="008241D5" w:rsidRPr="00286EF7">
        <w:rPr>
          <w:rFonts w:ascii="Times New Roman" w:hAnsi="Times New Roman" w:cs="Times New Roman"/>
          <w:sz w:val="24"/>
          <w:szCs w:val="24"/>
        </w:rPr>
        <w:t xml:space="preserve"> Open Meeting</w:t>
      </w:r>
      <w:r w:rsidR="00762113" w:rsidRPr="00286EF7">
        <w:rPr>
          <w:rFonts w:ascii="Times New Roman" w:hAnsi="Times New Roman" w:cs="Times New Roman"/>
          <w:sz w:val="24"/>
          <w:szCs w:val="24"/>
        </w:rPr>
        <w:t xml:space="preserve">, </w:t>
      </w:r>
      <w:r w:rsidR="008A7F5A">
        <w:rPr>
          <w:rFonts w:ascii="Times New Roman" w:hAnsi="Times New Roman" w:cs="Times New Roman"/>
          <w:sz w:val="24"/>
          <w:szCs w:val="24"/>
        </w:rPr>
        <w:t xml:space="preserve">the Technical Advisory Committee (TAC) and Board of Directors (Board) have each met and passed </w:t>
      </w:r>
      <w:r w:rsidR="00FF5932">
        <w:rPr>
          <w:rFonts w:ascii="Times New Roman" w:hAnsi="Times New Roman" w:cs="Times New Roman"/>
          <w:sz w:val="24"/>
          <w:szCs w:val="24"/>
        </w:rPr>
        <w:t>nineteen</w:t>
      </w:r>
      <w:r w:rsidR="008A7F5A">
        <w:rPr>
          <w:rFonts w:ascii="Times New Roman" w:hAnsi="Times New Roman" w:cs="Times New Roman"/>
          <w:sz w:val="24"/>
          <w:szCs w:val="24"/>
        </w:rPr>
        <w:t xml:space="preserve"> additional rules through the stakeholder </w:t>
      </w:r>
      <w:r w:rsidR="00632684">
        <w:rPr>
          <w:rFonts w:ascii="Times New Roman" w:hAnsi="Times New Roman" w:cs="Times New Roman"/>
          <w:sz w:val="24"/>
          <w:szCs w:val="24"/>
        </w:rPr>
        <w:t>process.</w:t>
      </w:r>
      <w:r w:rsidR="0049227A" w:rsidRPr="00286EF7">
        <w:rPr>
          <w:rFonts w:ascii="Times New Roman" w:hAnsi="Times New Roman" w:cs="Times New Roman"/>
          <w:sz w:val="24"/>
          <w:szCs w:val="24"/>
        </w:rPr>
        <w:t xml:space="preserve">  </w:t>
      </w:r>
      <w:r w:rsidR="0098142D" w:rsidRPr="0040661B">
        <w:rPr>
          <w:rFonts w:ascii="Times New Roman" w:hAnsi="Times New Roman" w:cs="Times New Roman"/>
          <w:sz w:val="24"/>
          <w:szCs w:val="24"/>
        </w:rPr>
        <w:t xml:space="preserve">These include </w:t>
      </w:r>
      <w:r w:rsidR="0040661B" w:rsidRPr="00BE69D9">
        <w:rPr>
          <w:rFonts w:ascii="Times New Roman" w:hAnsi="Times New Roman" w:cs="Times New Roman"/>
          <w:sz w:val="24"/>
          <w:szCs w:val="24"/>
        </w:rPr>
        <w:t xml:space="preserve">ten Nodal Protocol Revision Requests (NPRRs), </w:t>
      </w:r>
      <w:r w:rsidR="00DD6ABA" w:rsidRPr="00BE69D9">
        <w:rPr>
          <w:rFonts w:ascii="Times New Roman" w:hAnsi="Times New Roman" w:cs="Times New Roman"/>
          <w:sz w:val="24"/>
          <w:szCs w:val="24"/>
        </w:rPr>
        <w:t>one</w:t>
      </w:r>
      <w:r w:rsidR="008B0E29" w:rsidRPr="0040661B">
        <w:rPr>
          <w:rFonts w:ascii="Times New Roman" w:hAnsi="Times New Roman" w:cs="Times New Roman"/>
          <w:sz w:val="24"/>
          <w:szCs w:val="24"/>
        </w:rPr>
        <w:t xml:space="preserve"> </w:t>
      </w:r>
      <w:r w:rsidR="006009A1" w:rsidRPr="0040661B">
        <w:rPr>
          <w:rFonts w:ascii="Times New Roman" w:hAnsi="Times New Roman" w:cs="Times New Roman"/>
          <w:sz w:val="24"/>
          <w:szCs w:val="24"/>
        </w:rPr>
        <w:t xml:space="preserve">Planning Guide Revision Request (PGRR), </w:t>
      </w:r>
      <w:r w:rsidR="00DD6ABA" w:rsidRPr="00BE69D9">
        <w:rPr>
          <w:rFonts w:ascii="Times New Roman" w:hAnsi="Times New Roman" w:cs="Times New Roman"/>
          <w:sz w:val="24"/>
          <w:szCs w:val="24"/>
        </w:rPr>
        <w:t>two</w:t>
      </w:r>
      <w:r w:rsidR="00CC3DBC" w:rsidRPr="0040661B">
        <w:rPr>
          <w:rFonts w:ascii="Times New Roman" w:hAnsi="Times New Roman" w:cs="Times New Roman"/>
          <w:sz w:val="24"/>
          <w:szCs w:val="24"/>
        </w:rPr>
        <w:t xml:space="preserve"> </w:t>
      </w:r>
      <w:bookmarkStart w:id="1" w:name="_Hlk86228434"/>
      <w:r w:rsidR="00CC3DBC" w:rsidRPr="0040661B">
        <w:rPr>
          <w:rFonts w:ascii="Times New Roman" w:hAnsi="Times New Roman" w:cs="Times New Roman"/>
          <w:sz w:val="24"/>
          <w:szCs w:val="24"/>
        </w:rPr>
        <w:t>Resource Registration Glossary Revision Request</w:t>
      </w:r>
      <w:r w:rsidR="00671FE8">
        <w:rPr>
          <w:rFonts w:ascii="Times New Roman" w:hAnsi="Times New Roman" w:cs="Times New Roman"/>
          <w:sz w:val="24"/>
          <w:szCs w:val="24"/>
        </w:rPr>
        <w:t>s</w:t>
      </w:r>
      <w:r w:rsidR="00CC3DBC" w:rsidRPr="0040661B">
        <w:rPr>
          <w:rFonts w:ascii="Times New Roman" w:hAnsi="Times New Roman" w:cs="Times New Roman"/>
          <w:sz w:val="24"/>
          <w:szCs w:val="24"/>
        </w:rPr>
        <w:t xml:space="preserve"> </w:t>
      </w:r>
      <w:bookmarkEnd w:id="1"/>
      <w:r w:rsidR="00CC3DBC" w:rsidRPr="0040661B">
        <w:rPr>
          <w:rFonts w:ascii="Times New Roman" w:hAnsi="Times New Roman" w:cs="Times New Roman"/>
          <w:sz w:val="24"/>
          <w:szCs w:val="24"/>
        </w:rPr>
        <w:t>(RRGRR</w:t>
      </w:r>
      <w:r w:rsidR="00671FE8">
        <w:rPr>
          <w:rFonts w:ascii="Times New Roman" w:hAnsi="Times New Roman" w:cs="Times New Roman"/>
          <w:sz w:val="24"/>
          <w:szCs w:val="24"/>
        </w:rPr>
        <w:t>s</w:t>
      </w:r>
      <w:r w:rsidR="00CC3DBC" w:rsidRPr="0040661B">
        <w:rPr>
          <w:rFonts w:ascii="Times New Roman" w:hAnsi="Times New Roman" w:cs="Times New Roman"/>
          <w:sz w:val="24"/>
          <w:szCs w:val="24"/>
        </w:rPr>
        <w:t>),</w:t>
      </w:r>
      <w:r w:rsidR="00AC1764" w:rsidRPr="0040661B">
        <w:rPr>
          <w:rFonts w:ascii="Times New Roman" w:hAnsi="Times New Roman" w:cs="Times New Roman"/>
          <w:sz w:val="24"/>
          <w:szCs w:val="24"/>
        </w:rPr>
        <w:t xml:space="preserve"> </w:t>
      </w:r>
      <w:r w:rsidR="00DD6ABA" w:rsidRPr="00BE69D9">
        <w:rPr>
          <w:rFonts w:ascii="Times New Roman" w:hAnsi="Times New Roman" w:cs="Times New Roman"/>
          <w:sz w:val="24"/>
          <w:szCs w:val="24"/>
        </w:rPr>
        <w:t>four</w:t>
      </w:r>
      <w:r w:rsidR="00BF5B1E" w:rsidRPr="0040661B">
        <w:rPr>
          <w:rFonts w:ascii="Times New Roman" w:hAnsi="Times New Roman" w:cs="Times New Roman"/>
          <w:sz w:val="24"/>
          <w:szCs w:val="24"/>
        </w:rPr>
        <w:t xml:space="preserve"> </w:t>
      </w:r>
      <w:r w:rsidR="00A0689D" w:rsidRPr="0040661B">
        <w:rPr>
          <w:rFonts w:ascii="Times New Roman" w:hAnsi="Times New Roman" w:cs="Times New Roman"/>
          <w:sz w:val="24"/>
          <w:szCs w:val="24"/>
        </w:rPr>
        <w:t>Nodal Operating Guide Revision Request</w:t>
      </w:r>
      <w:r w:rsidR="00DD6ABA" w:rsidRPr="00BE69D9">
        <w:rPr>
          <w:rFonts w:ascii="Times New Roman" w:hAnsi="Times New Roman" w:cs="Times New Roman"/>
          <w:sz w:val="24"/>
          <w:szCs w:val="24"/>
        </w:rPr>
        <w:t>s</w:t>
      </w:r>
      <w:r w:rsidR="008B0E29" w:rsidRPr="0040661B">
        <w:rPr>
          <w:rFonts w:ascii="Times New Roman" w:hAnsi="Times New Roman" w:cs="Times New Roman"/>
          <w:sz w:val="24"/>
          <w:szCs w:val="24"/>
        </w:rPr>
        <w:t xml:space="preserve"> </w:t>
      </w:r>
      <w:r w:rsidR="00A0689D" w:rsidRPr="0040661B">
        <w:rPr>
          <w:rFonts w:ascii="Times New Roman" w:hAnsi="Times New Roman" w:cs="Times New Roman"/>
          <w:sz w:val="24"/>
          <w:szCs w:val="24"/>
        </w:rPr>
        <w:t>(NOGRR</w:t>
      </w:r>
      <w:r w:rsidR="00DD6ABA" w:rsidRPr="00BE69D9">
        <w:rPr>
          <w:rFonts w:ascii="Times New Roman" w:hAnsi="Times New Roman" w:cs="Times New Roman"/>
          <w:sz w:val="24"/>
          <w:szCs w:val="24"/>
        </w:rPr>
        <w:t>s</w:t>
      </w:r>
      <w:r w:rsidR="00A0689D" w:rsidRPr="0040661B">
        <w:rPr>
          <w:rFonts w:ascii="Times New Roman" w:hAnsi="Times New Roman" w:cs="Times New Roman"/>
          <w:sz w:val="24"/>
          <w:szCs w:val="24"/>
        </w:rPr>
        <w:t>)</w:t>
      </w:r>
      <w:r w:rsidR="00B51590" w:rsidRPr="0040661B">
        <w:rPr>
          <w:rFonts w:ascii="Times New Roman" w:hAnsi="Times New Roman" w:cs="Times New Roman"/>
          <w:sz w:val="24"/>
          <w:szCs w:val="24"/>
        </w:rPr>
        <w:t xml:space="preserve"> </w:t>
      </w:r>
      <w:r w:rsidR="00252638" w:rsidRPr="0040661B">
        <w:rPr>
          <w:rFonts w:ascii="Times New Roman" w:hAnsi="Times New Roman" w:cs="Times New Roman"/>
          <w:sz w:val="24"/>
          <w:szCs w:val="24"/>
        </w:rPr>
        <w:t>a</w:t>
      </w:r>
      <w:r w:rsidR="0098142D" w:rsidRPr="0040661B">
        <w:rPr>
          <w:rFonts w:ascii="Times New Roman" w:hAnsi="Times New Roman" w:cs="Times New Roman"/>
          <w:sz w:val="24"/>
          <w:szCs w:val="24"/>
        </w:rPr>
        <w:t xml:space="preserve">nd </w:t>
      </w:r>
      <w:r w:rsidR="00BF5B1E" w:rsidRPr="0040661B">
        <w:rPr>
          <w:rFonts w:ascii="Times New Roman" w:hAnsi="Times New Roman" w:cs="Times New Roman"/>
          <w:sz w:val="24"/>
          <w:szCs w:val="24"/>
        </w:rPr>
        <w:t>two Other Binding Document</w:t>
      </w:r>
      <w:r w:rsidR="0098142D" w:rsidRPr="0040661B">
        <w:rPr>
          <w:rFonts w:ascii="Times New Roman" w:hAnsi="Times New Roman" w:cs="Times New Roman"/>
          <w:sz w:val="24"/>
          <w:szCs w:val="24"/>
        </w:rPr>
        <w:t xml:space="preserve"> Revision Request</w:t>
      </w:r>
      <w:r w:rsidR="00BF5B1E" w:rsidRPr="0040661B">
        <w:rPr>
          <w:rFonts w:ascii="Times New Roman" w:hAnsi="Times New Roman" w:cs="Times New Roman"/>
          <w:sz w:val="24"/>
          <w:szCs w:val="24"/>
        </w:rPr>
        <w:t>s</w:t>
      </w:r>
      <w:r w:rsidR="0098142D" w:rsidRPr="0040661B">
        <w:rPr>
          <w:rFonts w:ascii="Times New Roman" w:hAnsi="Times New Roman" w:cs="Times New Roman"/>
          <w:sz w:val="24"/>
          <w:szCs w:val="24"/>
        </w:rPr>
        <w:t xml:space="preserve"> (</w:t>
      </w:r>
      <w:r w:rsidR="00BF5B1E" w:rsidRPr="0040661B">
        <w:rPr>
          <w:rFonts w:ascii="Times New Roman" w:hAnsi="Times New Roman" w:cs="Times New Roman"/>
          <w:sz w:val="24"/>
          <w:szCs w:val="24"/>
        </w:rPr>
        <w:t>OBD</w:t>
      </w:r>
      <w:r w:rsidR="0098142D" w:rsidRPr="0040661B">
        <w:rPr>
          <w:rFonts w:ascii="Times New Roman" w:hAnsi="Times New Roman" w:cs="Times New Roman"/>
          <w:sz w:val="24"/>
          <w:szCs w:val="24"/>
        </w:rPr>
        <w:t>RR</w:t>
      </w:r>
      <w:r w:rsidR="00BF5B1E" w:rsidRPr="0040661B">
        <w:rPr>
          <w:rFonts w:ascii="Times New Roman" w:hAnsi="Times New Roman" w:cs="Times New Roman"/>
          <w:sz w:val="24"/>
          <w:szCs w:val="24"/>
        </w:rPr>
        <w:t>s</w:t>
      </w:r>
      <w:r w:rsidR="0098142D" w:rsidRPr="0040661B">
        <w:rPr>
          <w:rFonts w:ascii="Times New Roman" w:hAnsi="Times New Roman" w:cs="Times New Roman"/>
          <w:sz w:val="24"/>
          <w:szCs w:val="24"/>
        </w:rPr>
        <w:t xml:space="preserve">). </w:t>
      </w:r>
      <w:r w:rsidR="0049227A" w:rsidRPr="0040661B">
        <w:rPr>
          <w:rFonts w:ascii="Times New Roman" w:hAnsi="Times New Roman" w:cs="Times New Roman"/>
          <w:sz w:val="24"/>
          <w:szCs w:val="24"/>
        </w:rPr>
        <w:t>These matters are now</w:t>
      </w:r>
      <w:r w:rsidR="00762113" w:rsidRPr="0040661B">
        <w:rPr>
          <w:rFonts w:ascii="Times New Roman" w:hAnsi="Times New Roman" w:cs="Times New Roman"/>
          <w:sz w:val="24"/>
          <w:szCs w:val="24"/>
        </w:rPr>
        <w:t xml:space="preserve"> pending </w:t>
      </w:r>
      <w:r w:rsidR="00D2719B" w:rsidRPr="0040661B">
        <w:rPr>
          <w:rFonts w:ascii="Times New Roman" w:hAnsi="Times New Roman" w:cs="Times New Roman"/>
          <w:sz w:val="24"/>
          <w:szCs w:val="24"/>
        </w:rPr>
        <w:t xml:space="preserve">at the </w:t>
      </w:r>
      <w:r w:rsidR="00762113" w:rsidRPr="0040661B">
        <w:rPr>
          <w:rFonts w:ascii="Times New Roman" w:hAnsi="Times New Roman" w:cs="Times New Roman"/>
          <w:sz w:val="24"/>
          <w:szCs w:val="24"/>
        </w:rPr>
        <w:t>Commission</w:t>
      </w:r>
      <w:r w:rsidR="0049227A" w:rsidRPr="0040661B">
        <w:rPr>
          <w:rFonts w:ascii="Times New Roman" w:hAnsi="Times New Roman" w:cs="Times New Roman"/>
          <w:sz w:val="24"/>
          <w:szCs w:val="24"/>
        </w:rPr>
        <w:t xml:space="preserve"> prior to ERCOT </w:t>
      </w:r>
      <w:r w:rsidR="00762113" w:rsidRPr="0040661B">
        <w:rPr>
          <w:rFonts w:ascii="Times New Roman" w:hAnsi="Times New Roman" w:cs="Times New Roman"/>
          <w:sz w:val="24"/>
          <w:szCs w:val="24"/>
        </w:rPr>
        <w:t>implementation.</w:t>
      </w:r>
      <w:r w:rsidR="00762113">
        <w:rPr>
          <w:rFonts w:ascii="Times New Roman" w:hAnsi="Times New Roman" w:cs="Times New Roman"/>
          <w:sz w:val="24"/>
          <w:szCs w:val="24"/>
        </w:rPr>
        <w:t xml:space="preserve"> </w:t>
      </w:r>
    </w:p>
    <w:p w14:paraId="31DE6BA0" w14:textId="1785250E" w:rsidR="00B7068D" w:rsidRDefault="00B7068D" w:rsidP="00146959">
      <w:pPr>
        <w:pStyle w:val="xxmsonormal"/>
        <w:spacing w:line="360" w:lineRule="auto"/>
        <w:jc w:val="both"/>
        <w:rPr>
          <w:rFonts w:ascii="Times New Roman" w:hAnsi="Times New Roman" w:cs="Times New Roman"/>
          <w:sz w:val="24"/>
          <w:szCs w:val="24"/>
        </w:rPr>
      </w:pPr>
    </w:p>
    <w:p w14:paraId="68A90430" w14:textId="727C8F4A" w:rsidR="00170618" w:rsidRPr="00524B02" w:rsidRDefault="00F548A8" w:rsidP="00390718">
      <w:pPr>
        <w:pStyle w:val="preamble"/>
        <w:spacing w:line="360" w:lineRule="auto"/>
        <w:rPr>
          <w:szCs w:val="24"/>
        </w:rPr>
      </w:pPr>
      <w:r>
        <w:rPr>
          <w:szCs w:val="24"/>
        </w:rPr>
        <w:lastRenderedPageBreak/>
        <w:t xml:space="preserve">First, </w:t>
      </w:r>
      <w:r w:rsidR="00B7068D" w:rsidRPr="00524B02">
        <w:rPr>
          <w:szCs w:val="24"/>
        </w:rPr>
        <w:t>Staff requests consideration of</w:t>
      </w:r>
      <w:r w:rsidR="003E02E8" w:rsidRPr="00524B02">
        <w:rPr>
          <w:szCs w:val="24"/>
        </w:rPr>
        <w:t xml:space="preserve"> </w:t>
      </w:r>
      <w:r w:rsidR="00FF5932" w:rsidRPr="00524B02">
        <w:rPr>
          <w:szCs w:val="24"/>
        </w:rPr>
        <w:t xml:space="preserve">two rules </w:t>
      </w:r>
      <w:r w:rsidR="00B7068D" w:rsidRPr="00524B02">
        <w:rPr>
          <w:szCs w:val="24"/>
        </w:rPr>
        <w:t>approved by</w:t>
      </w:r>
      <w:r w:rsidR="0025794F" w:rsidRPr="00524B02">
        <w:rPr>
          <w:szCs w:val="24"/>
        </w:rPr>
        <w:t xml:space="preserve"> </w:t>
      </w:r>
      <w:r w:rsidR="008A7F5A" w:rsidRPr="00524B02">
        <w:rPr>
          <w:szCs w:val="24"/>
        </w:rPr>
        <w:t>TAC</w:t>
      </w:r>
      <w:r w:rsidR="00B7068D" w:rsidRPr="00524B02">
        <w:rPr>
          <w:szCs w:val="24"/>
        </w:rPr>
        <w:t xml:space="preserve"> at its </w:t>
      </w:r>
      <w:r w:rsidR="008A7F5A" w:rsidRPr="00524B02">
        <w:rPr>
          <w:szCs w:val="24"/>
        </w:rPr>
        <w:t>November 29</w:t>
      </w:r>
      <w:r w:rsidR="00B7068D" w:rsidRPr="00524B02">
        <w:rPr>
          <w:szCs w:val="24"/>
        </w:rPr>
        <w:t xml:space="preserve">, </w:t>
      </w:r>
      <w:proofErr w:type="gramStart"/>
      <w:r w:rsidR="00B7068D" w:rsidRPr="00524B02">
        <w:rPr>
          <w:szCs w:val="24"/>
        </w:rPr>
        <w:t>2021</w:t>
      </w:r>
      <w:proofErr w:type="gramEnd"/>
      <w:r w:rsidR="00B7068D" w:rsidRPr="00524B02">
        <w:rPr>
          <w:szCs w:val="24"/>
        </w:rPr>
        <w:t xml:space="preserve"> meeting</w:t>
      </w:r>
      <w:r w:rsidR="00170618" w:rsidRPr="00524B02">
        <w:rPr>
          <w:szCs w:val="24"/>
        </w:rPr>
        <w:t>:</w:t>
      </w:r>
    </w:p>
    <w:p w14:paraId="2FE717F6" w14:textId="77777777" w:rsidR="00AD4877" w:rsidRPr="00AD4877" w:rsidRDefault="004E31DB" w:rsidP="00524B02">
      <w:pPr>
        <w:pStyle w:val="preamble"/>
        <w:numPr>
          <w:ilvl w:val="0"/>
          <w:numId w:val="26"/>
        </w:numPr>
        <w:spacing w:line="360" w:lineRule="auto"/>
        <w:rPr>
          <w:szCs w:val="24"/>
        </w:rPr>
      </w:pPr>
      <w:bookmarkStart w:id="2" w:name="_Hlk86228062"/>
      <w:r w:rsidRPr="00524B02">
        <w:rPr>
          <w:szCs w:val="24"/>
        </w:rPr>
        <w:t>NOGRR231</w:t>
      </w:r>
      <w:r w:rsidR="0023568C" w:rsidRPr="00524B02">
        <w:rPr>
          <w:szCs w:val="24"/>
        </w:rPr>
        <w:t xml:space="preserve">, </w:t>
      </w:r>
      <w:r w:rsidR="00D75214" w:rsidRPr="00524B02">
        <w:rPr>
          <w:i/>
          <w:iCs/>
        </w:rPr>
        <w:t>Remove ERCOT Regional Map</w:t>
      </w:r>
      <w:r w:rsidR="0023568C" w:rsidRPr="00524B02">
        <w:t xml:space="preserve">.  Staff recommends approval to </w:t>
      </w:r>
      <w:r w:rsidR="00B70FBC" w:rsidRPr="00524B02">
        <w:t xml:space="preserve">remove any confusion regarding the boundaries or definition of the ERCOT Region from </w:t>
      </w:r>
      <w:r w:rsidR="00BA6184" w:rsidRPr="00524B02">
        <w:t>the Nodal Operating Guide</w:t>
      </w:r>
      <w:r w:rsidR="00703127" w:rsidRPr="00524B02">
        <w:t>.</w:t>
      </w:r>
    </w:p>
    <w:p w14:paraId="5382A444" w14:textId="421B6464" w:rsidR="00B81BE0" w:rsidRPr="00524B02" w:rsidRDefault="00A53756" w:rsidP="00524B02">
      <w:pPr>
        <w:pStyle w:val="preamble"/>
        <w:numPr>
          <w:ilvl w:val="0"/>
          <w:numId w:val="26"/>
        </w:numPr>
        <w:spacing w:line="360" w:lineRule="auto"/>
        <w:rPr>
          <w:szCs w:val="24"/>
        </w:rPr>
      </w:pPr>
      <w:r w:rsidRPr="00524B02">
        <w:rPr>
          <w:szCs w:val="24"/>
        </w:rPr>
        <w:t>RRGRR030</w:t>
      </w:r>
      <w:r w:rsidR="0023568C" w:rsidRPr="00524B02">
        <w:rPr>
          <w:szCs w:val="24"/>
        </w:rPr>
        <w:t xml:space="preserve">, </w:t>
      </w:r>
      <w:r w:rsidR="00CF7047" w:rsidRPr="00524B02">
        <w:rPr>
          <w:i/>
          <w:iCs/>
        </w:rPr>
        <w:t>Allow New Voltage Levels in Resource Registration Information</w:t>
      </w:r>
      <w:r w:rsidR="00C85175" w:rsidRPr="00524B02">
        <w:t xml:space="preserve">.  Staff recommends approval to </w:t>
      </w:r>
      <w:r w:rsidR="00ED02C1" w:rsidRPr="00524B02">
        <w:t xml:space="preserve">remove the hard coding of voltage levels for certain Resource Registration information </w:t>
      </w:r>
      <w:r w:rsidR="00BE64EB" w:rsidRPr="00524B02">
        <w:t>to</w:t>
      </w:r>
      <w:r w:rsidR="00803ED0" w:rsidRPr="00524B02">
        <w:t xml:space="preserve"> eliminate validation errors when data is submitted that uses a voltage level not on the list</w:t>
      </w:r>
      <w:r w:rsidR="00ED02C1" w:rsidRPr="00524B02">
        <w:t>.</w:t>
      </w:r>
    </w:p>
    <w:bookmarkEnd w:id="2"/>
    <w:p w14:paraId="4A204C87" w14:textId="77777777" w:rsidR="00FE0D12" w:rsidRPr="00FE0D12" w:rsidRDefault="00FE0D12" w:rsidP="00524B02">
      <w:pPr>
        <w:pStyle w:val="preamble"/>
        <w:spacing w:line="360" w:lineRule="auto"/>
        <w:rPr>
          <w:sz w:val="8"/>
          <w:szCs w:val="8"/>
        </w:rPr>
      </w:pPr>
    </w:p>
    <w:p w14:paraId="0142B3C5" w14:textId="0B72B1EB" w:rsidR="00390718" w:rsidRDefault="00EB5C7A" w:rsidP="00524B02">
      <w:pPr>
        <w:pStyle w:val="preamble"/>
        <w:spacing w:line="360" w:lineRule="auto"/>
        <w:rPr>
          <w:szCs w:val="24"/>
        </w:rPr>
      </w:pPr>
      <w:r>
        <w:rPr>
          <w:szCs w:val="24"/>
        </w:rPr>
        <w:t xml:space="preserve">Included for your review are the </w:t>
      </w:r>
      <w:r w:rsidR="00973413">
        <w:rPr>
          <w:szCs w:val="24"/>
        </w:rPr>
        <w:t xml:space="preserve">TAC </w:t>
      </w:r>
      <w:r>
        <w:rPr>
          <w:szCs w:val="24"/>
        </w:rPr>
        <w:t xml:space="preserve">Report and ERCOT Impact Analysis.  These documents are intended to provide a comprehensive overview describing the revisions, including ERCOT’s market impact statement.  </w:t>
      </w:r>
    </w:p>
    <w:p w14:paraId="6C8F14E8" w14:textId="120E6918" w:rsidR="00AE1CA3" w:rsidRDefault="00AE1CA3" w:rsidP="00390718">
      <w:pPr>
        <w:pStyle w:val="preamble"/>
        <w:spacing w:line="360" w:lineRule="auto"/>
        <w:rPr>
          <w:szCs w:val="24"/>
        </w:rPr>
      </w:pPr>
    </w:p>
    <w:p w14:paraId="43F3707B" w14:textId="2EC053BD" w:rsidR="00F548A8" w:rsidRDefault="00BE64EB" w:rsidP="00F548A8">
      <w:pPr>
        <w:pStyle w:val="preamble"/>
        <w:spacing w:line="360" w:lineRule="auto"/>
        <w:rPr>
          <w:szCs w:val="24"/>
        </w:rPr>
      </w:pPr>
      <w:r>
        <w:rPr>
          <w:szCs w:val="24"/>
        </w:rPr>
        <w:t xml:space="preserve">Next, </w:t>
      </w:r>
      <w:r w:rsidR="00F548A8">
        <w:rPr>
          <w:szCs w:val="24"/>
        </w:rPr>
        <w:t xml:space="preserve">Staff requests consideration of the following </w:t>
      </w:r>
      <w:r w:rsidR="00FF5932">
        <w:rPr>
          <w:szCs w:val="24"/>
        </w:rPr>
        <w:t xml:space="preserve">seventeen </w:t>
      </w:r>
      <w:r w:rsidR="00F548A8">
        <w:rPr>
          <w:szCs w:val="24"/>
        </w:rPr>
        <w:t xml:space="preserve">rules as approved by Board at its </w:t>
      </w:r>
      <w:r w:rsidR="002E1994">
        <w:rPr>
          <w:szCs w:val="24"/>
        </w:rPr>
        <w:t>December</w:t>
      </w:r>
      <w:r w:rsidR="00F548A8">
        <w:rPr>
          <w:szCs w:val="24"/>
        </w:rPr>
        <w:t xml:space="preserve"> 10, </w:t>
      </w:r>
      <w:proofErr w:type="gramStart"/>
      <w:r w:rsidR="00F548A8">
        <w:rPr>
          <w:szCs w:val="24"/>
        </w:rPr>
        <w:t>2021</w:t>
      </w:r>
      <w:proofErr w:type="gramEnd"/>
      <w:r w:rsidR="00F548A8">
        <w:rPr>
          <w:szCs w:val="24"/>
        </w:rPr>
        <w:t xml:space="preserve"> meeting:</w:t>
      </w:r>
    </w:p>
    <w:p w14:paraId="28C0E095" w14:textId="08026B48" w:rsidR="00671FE8" w:rsidRDefault="00292931" w:rsidP="00671FE8">
      <w:pPr>
        <w:pStyle w:val="preamble"/>
        <w:numPr>
          <w:ilvl w:val="0"/>
          <w:numId w:val="26"/>
        </w:numPr>
        <w:spacing w:after="240" w:line="360" w:lineRule="auto"/>
        <w:rPr>
          <w:szCs w:val="24"/>
        </w:rPr>
      </w:pPr>
      <w:bookmarkStart w:id="3" w:name="_Hlk90469262"/>
      <w:r w:rsidRPr="00300804">
        <w:rPr>
          <w:szCs w:val="24"/>
        </w:rPr>
        <w:t>NPRR</w:t>
      </w:r>
      <w:r>
        <w:rPr>
          <w:szCs w:val="24"/>
        </w:rPr>
        <w:t>1077</w:t>
      </w:r>
      <w:r w:rsidR="00671FE8">
        <w:rPr>
          <w:szCs w:val="24"/>
        </w:rPr>
        <w:t xml:space="preserve">, </w:t>
      </w:r>
      <w:bookmarkStart w:id="4" w:name="_Hlk80190073"/>
      <w:r w:rsidR="008144C2" w:rsidRPr="008144C2">
        <w:rPr>
          <w:i/>
          <w:iCs/>
          <w:szCs w:val="24"/>
        </w:rPr>
        <w:t>Extension of Self-Limiting Facility Concept to Settlement Only Generators (SOGs) and Telemetry Requirements for SOGs</w:t>
      </w:r>
      <w:bookmarkEnd w:id="4"/>
      <w:r w:rsidR="00671FE8">
        <w:rPr>
          <w:szCs w:val="24"/>
        </w:rPr>
        <w:t xml:space="preserve">.  Staff recommends approval in support of the </w:t>
      </w:r>
      <w:r w:rsidR="00FA0713">
        <w:rPr>
          <w:szCs w:val="24"/>
        </w:rPr>
        <w:t xml:space="preserve">extension of the self-limiting facility to SOGs, including </w:t>
      </w:r>
      <w:r w:rsidR="00FA0713">
        <w:t>addressing requirements for facilities that are connected at distribution voltage, and the</w:t>
      </w:r>
      <w:r w:rsidR="00FA0713" w:rsidDel="005269AB">
        <w:rPr>
          <w:szCs w:val="24"/>
        </w:rPr>
        <w:t xml:space="preserve"> </w:t>
      </w:r>
      <w:r w:rsidR="005269AB" w:rsidRPr="007A7FE5">
        <w:rPr>
          <w:rFonts w:cs="Arial"/>
        </w:rPr>
        <w:t xml:space="preserve">greater visibility of SOG performance </w:t>
      </w:r>
      <w:r w:rsidR="005269AB">
        <w:rPr>
          <w:rFonts w:cs="Arial"/>
        </w:rPr>
        <w:t xml:space="preserve">provided </w:t>
      </w:r>
      <w:r w:rsidR="005269AB" w:rsidRPr="007A7FE5">
        <w:rPr>
          <w:rFonts w:cs="Arial"/>
        </w:rPr>
        <w:t>to ERCOT operations and planning personnel.</w:t>
      </w:r>
    </w:p>
    <w:p w14:paraId="0A747C5D" w14:textId="0FA2CD0C" w:rsidR="00671FE8" w:rsidRPr="00300804" w:rsidRDefault="00292931" w:rsidP="00671FE8">
      <w:pPr>
        <w:pStyle w:val="preamble"/>
        <w:numPr>
          <w:ilvl w:val="0"/>
          <w:numId w:val="26"/>
        </w:numPr>
        <w:spacing w:after="240" w:line="360" w:lineRule="auto"/>
        <w:rPr>
          <w:szCs w:val="24"/>
        </w:rPr>
      </w:pPr>
      <w:r w:rsidRPr="00300804">
        <w:rPr>
          <w:szCs w:val="24"/>
        </w:rPr>
        <w:t>NPRR</w:t>
      </w:r>
      <w:r>
        <w:rPr>
          <w:szCs w:val="24"/>
        </w:rPr>
        <w:t>1091</w:t>
      </w:r>
      <w:r w:rsidR="00671FE8">
        <w:rPr>
          <w:szCs w:val="24"/>
        </w:rPr>
        <w:t xml:space="preserve">, </w:t>
      </w:r>
      <w:bookmarkStart w:id="5" w:name="_Hlk80190094"/>
      <w:r w:rsidR="00840696" w:rsidRPr="00840696">
        <w:rPr>
          <w:i/>
          <w:iCs/>
          <w:szCs w:val="24"/>
        </w:rPr>
        <w:t>Changes to Address Market Impacts of Additional Non-Spin Procurement</w:t>
      </w:r>
      <w:bookmarkEnd w:id="5"/>
      <w:r w:rsidR="00671FE8">
        <w:rPr>
          <w:szCs w:val="24"/>
        </w:rPr>
        <w:t xml:space="preserve">.  Staff recommends approval </w:t>
      </w:r>
      <w:r w:rsidR="00A92623">
        <w:rPr>
          <w:szCs w:val="24"/>
        </w:rPr>
        <w:t>to</w:t>
      </w:r>
      <w:r w:rsidR="00A92623" w:rsidRPr="00A92623">
        <w:t xml:space="preserve"> </w:t>
      </w:r>
      <w:r w:rsidR="00A92623">
        <w:t xml:space="preserve">address energy price suppression and liquidity issues </w:t>
      </w:r>
      <w:r w:rsidR="009E5A81">
        <w:t xml:space="preserve">created by recent </w:t>
      </w:r>
      <w:r w:rsidR="00A92623">
        <w:t xml:space="preserve">changes to </w:t>
      </w:r>
      <w:r w:rsidR="0045177C">
        <w:t>a</w:t>
      </w:r>
      <w:r w:rsidR="00A92623">
        <w:t xml:space="preserve">ncillary </w:t>
      </w:r>
      <w:r w:rsidR="0045177C">
        <w:t>s</w:t>
      </w:r>
      <w:r w:rsidR="00A92623">
        <w:t xml:space="preserve">ervice procurement and deployments. </w:t>
      </w:r>
    </w:p>
    <w:p w14:paraId="31D3B329" w14:textId="628336DA" w:rsidR="00671FE8" w:rsidRDefault="00671FE8" w:rsidP="00671FE8">
      <w:pPr>
        <w:pStyle w:val="preamble"/>
        <w:numPr>
          <w:ilvl w:val="0"/>
          <w:numId w:val="26"/>
        </w:numPr>
        <w:spacing w:after="240" w:line="360" w:lineRule="auto"/>
        <w:rPr>
          <w:szCs w:val="24"/>
        </w:rPr>
      </w:pPr>
      <w:bookmarkStart w:id="6" w:name="_Hlk80190137"/>
      <w:r w:rsidRPr="00300804">
        <w:rPr>
          <w:szCs w:val="24"/>
        </w:rPr>
        <w:t>NPRR10</w:t>
      </w:r>
      <w:r w:rsidR="00292931">
        <w:rPr>
          <w:szCs w:val="24"/>
        </w:rPr>
        <w:t>94</w:t>
      </w:r>
      <w:r>
        <w:rPr>
          <w:szCs w:val="24"/>
        </w:rPr>
        <w:t>,</w:t>
      </w:r>
      <w:r w:rsidRPr="00D00A26">
        <w:rPr>
          <w:i/>
          <w:iCs/>
          <w:szCs w:val="24"/>
        </w:rPr>
        <w:t xml:space="preserve"> </w:t>
      </w:r>
      <w:r w:rsidR="0091350D" w:rsidRPr="0091350D">
        <w:rPr>
          <w:i/>
          <w:iCs/>
          <w:szCs w:val="24"/>
        </w:rPr>
        <w:t>Allow Under Frequency Relay Load to be Manually Shed During EEA3</w:t>
      </w:r>
      <w:bookmarkEnd w:id="6"/>
      <w:r>
        <w:rPr>
          <w:szCs w:val="24"/>
        </w:rPr>
        <w:t xml:space="preserve">.  Staff recommends approval in support of the </w:t>
      </w:r>
      <w:r w:rsidR="00E440C2" w:rsidRPr="00E440C2">
        <w:rPr>
          <w:szCs w:val="24"/>
        </w:rPr>
        <w:t>improve</w:t>
      </w:r>
      <w:r w:rsidR="00E440C2">
        <w:rPr>
          <w:szCs w:val="24"/>
        </w:rPr>
        <w:t>d</w:t>
      </w:r>
      <w:r w:rsidR="00E440C2" w:rsidRPr="00E440C2">
        <w:rPr>
          <w:szCs w:val="24"/>
        </w:rPr>
        <w:t xml:space="preserve"> efficiency and reliability </w:t>
      </w:r>
      <w:r w:rsidR="00E440C2">
        <w:rPr>
          <w:szCs w:val="24"/>
        </w:rPr>
        <w:t xml:space="preserve">provided by </w:t>
      </w:r>
      <w:r w:rsidR="00E440C2" w:rsidRPr="00E440C2">
        <w:rPr>
          <w:szCs w:val="24"/>
        </w:rPr>
        <w:t xml:space="preserve">removing restrictions on manually shedding </w:t>
      </w:r>
      <w:r w:rsidR="00E440C2">
        <w:rPr>
          <w:szCs w:val="24"/>
        </w:rPr>
        <w:t>under frequency relay load</w:t>
      </w:r>
      <w:r w:rsidR="00447C55">
        <w:rPr>
          <w:szCs w:val="24"/>
        </w:rPr>
        <w:t xml:space="preserve"> shed</w:t>
      </w:r>
      <w:r w:rsidR="00E440C2" w:rsidRPr="00E440C2">
        <w:rPr>
          <w:szCs w:val="24"/>
        </w:rPr>
        <w:t xml:space="preserve"> feeder-connected </w:t>
      </w:r>
      <w:r w:rsidR="00447C55">
        <w:rPr>
          <w:szCs w:val="24"/>
        </w:rPr>
        <w:t>load</w:t>
      </w:r>
      <w:r w:rsidR="00E440C2" w:rsidRPr="00E440C2">
        <w:rPr>
          <w:szCs w:val="24"/>
        </w:rPr>
        <w:t xml:space="preserve"> during an EEA Level 3.</w:t>
      </w:r>
      <w:r>
        <w:rPr>
          <w:szCs w:val="24"/>
        </w:rPr>
        <w:t xml:space="preserve"> </w:t>
      </w:r>
    </w:p>
    <w:p w14:paraId="218CE84A" w14:textId="5E27C46C" w:rsidR="00671FE8" w:rsidRPr="00AB4C30" w:rsidRDefault="00292931" w:rsidP="00671FE8">
      <w:pPr>
        <w:pStyle w:val="preamble"/>
        <w:numPr>
          <w:ilvl w:val="0"/>
          <w:numId w:val="26"/>
        </w:numPr>
        <w:spacing w:after="240" w:line="360" w:lineRule="auto"/>
        <w:rPr>
          <w:szCs w:val="24"/>
        </w:rPr>
      </w:pPr>
      <w:bookmarkStart w:id="7" w:name="_Hlk80190165"/>
      <w:r w:rsidRPr="00AB4C30">
        <w:rPr>
          <w:szCs w:val="24"/>
        </w:rPr>
        <w:t>NPRR1</w:t>
      </w:r>
      <w:r>
        <w:rPr>
          <w:szCs w:val="24"/>
        </w:rPr>
        <w:t>101</w:t>
      </w:r>
      <w:r w:rsidR="00671FE8" w:rsidRPr="00AB4C30">
        <w:rPr>
          <w:szCs w:val="24"/>
        </w:rPr>
        <w:t xml:space="preserve">, </w:t>
      </w:r>
      <w:r w:rsidR="009037FF" w:rsidRPr="009037FF">
        <w:rPr>
          <w:i/>
          <w:iCs/>
          <w:szCs w:val="24"/>
        </w:rPr>
        <w:t xml:space="preserve">Create Non-Spin Deployment Groups made up of Generation Resources Providing Off-Line Non-Spinning Reserve and Load Resources that are Not Controllable </w:t>
      </w:r>
      <w:r w:rsidR="009037FF" w:rsidRPr="009037FF">
        <w:rPr>
          <w:i/>
          <w:iCs/>
          <w:szCs w:val="24"/>
        </w:rPr>
        <w:lastRenderedPageBreak/>
        <w:t>Load Resources Providing Non-Spinning Reserve</w:t>
      </w:r>
      <w:bookmarkEnd w:id="7"/>
      <w:r w:rsidR="00671FE8" w:rsidRPr="00AB4C30">
        <w:rPr>
          <w:szCs w:val="24"/>
        </w:rPr>
        <w:t xml:space="preserve">.  Staff recommends approval in support of the </w:t>
      </w:r>
      <w:r w:rsidR="00AF524F">
        <w:rPr>
          <w:szCs w:val="24"/>
        </w:rPr>
        <w:t xml:space="preserve">continued </w:t>
      </w:r>
      <w:r w:rsidR="003C0B62">
        <w:rPr>
          <w:szCs w:val="24"/>
        </w:rPr>
        <w:t>efforts</w:t>
      </w:r>
      <w:r w:rsidR="00A50E92">
        <w:rPr>
          <w:szCs w:val="24"/>
        </w:rPr>
        <w:t xml:space="preserve"> to </w:t>
      </w:r>
      <w:r w:rsidR="003C0B62">
        <w:rPr>
          <w:szCs w:val="24"/>
        </w:rPr>
        <w:t xml:space="preserve">increase </w:t>
      </w:r>
      <w:r w:rsidR="0086761C">
        <w:rPr>
          <w:szCs w:val="24"/>
        </w:rPr>
        <w:t xml:space="preserve">the procurement of </w:t>
      </w:r>
      <w:r w:rsidR="003C0B62">
        <w:rPr>
          <w:szCs w:val="24"/>
        </w:rPr>
        <w:t xml:space="preserve">ancillary </w:t>
      </w:r>
      <w:proofErr w:type="gramStart"/>
      <w:r w:rsidR="003C0B62">
        <w:rPr>
          <w:szCs w:val="24"/>
        </w:rPr>
        <w:t>service</w:t>
      </w:r>
      <w:r w:rsidR="0086761C">
        <w:rPr>
          <w:szCs w:val="24"/>
        </w:rPr>
        <w:t>s</w:t>
      </w:r>
      <w:r w:rsidR="003C0B62">
        <w:rPr>
          <w:szCs w:val="24"/>
        </w:rPr>
        <w:t xml:space="preserve"> </w:t>
      </w:r>
      <w:r w:rsidR="00AF524F">
        <w:rPr>
          <w:szCs w:val="24"/>
        </w:rPr>
        <w:t xml:space="preserve"> and</w:t>
      </w:r>
      <w:proofErr w:type="gramEnd"/>
      <w:r w:rsidR="00AF524F">
        <w:rPr>
          <w:szCs w:val="24"/>
        </w:rPr>
        <w:t xml:space="preserve"> </w:t>
      </w:r>
      <w:r w:rsidR="003C0B62">
        <w:rPr>
          <w:szCs w:val="24"/>
        </w:rPr>
        <w:t>deploy</w:t>
      </w:r>
      <w:r w:rsidR="00874A6E" w:rsidRPr="00874A6E">
        <w:rPr>
          <w:szCs w:val="24"/>
        </w:rPr>
        <w:t xml:space="preserve"> Non-Spin in a technology agnostic manner</w:t>
      </w:r>
      <w:r w:rsidR="00671FE8">
        <w:t>.</w:t>
      </w:r>
    </w:p>
    <w:p w14:paraId="35B821CB" w14:textId="27C6D235" w:rsidR="00671FE8" w:rsidRDefault="00292931" w:rsidP="00671FE8">
      <w:pPr>
        <w:pStyle w:val="preamble"/>
        <w:numPr>
          <w:ilvl w:val="0"/>
          <w:numId w:val="26"/>
        </w:numPr>
        <w:spacing w:after="240" w:line="360" w:lineRule="auto"/>
        <w:rPr>
          <w:szCs w:val="24"/>
        </w:rPr>
      </w:pPr>
      <w:bookmarkStart w:id="8" w:name="_Hlk80190181"/>
      <w:r w:rsidRPr="00300804">
        <w:rPr>
          <w:szCs w:val="24"/>
        </w:rPr>
        <w:t>NPRR</w:t>
      </w:r>
      <w:r>
        <w:rPr>
          <w:szCs w:val="24"/>
        </w:rPr>
        <w:t>1103</w:t>
      </w:r>
      <w:r w:rsidR="00671FE8">
        <w:rPr>
          <w:szCs w:val="24"/>
        </w:rPr>
        <w:t xml:space="preserve">, </w:t>
      </w:r>
      <w:r w:rsidR="0053383B" w:rsidRPr="0053383B">
        <w:rPr>
          <w:i/>
          <w:iCs/>
          <w:szCs w:val="24"/>
        </w:rPr>
        <w:t>Securitization – PURA Subchapter M Default Charges</w:t>
      </w:r>
      <w:r w:rsidR="00671FE8">
        <w:rPr>
          <w:szCs w:val="24"/>
        </w:rPr>
        <w:t xml:space="preserve">. </w:t>
      </w:r>
      <w:bookmarkEnd w:id="8"/>
      <w:r w:rsidR="00671FE8">
        <w:rPr>
          <w:szCs w:val="24"/>
        </w:rPr>
        <w:t xml:space="preserve">Staff recommends approval </w:t>
      </w:r>
      <w:r w:rsidR="0053383B">
        <w:rPr>
          <w:szCs w:val="24"/>
        </w:rPr>
        <w:t xml:space="preserve">to </w:t>
      </w:r>
      <w:r w:rsidR="006F3981" w:rsidRPr="005879FE">
        <w:rPr>
          <w:iCs/>
          <w:kern w:val="24"/>
        </w:rPr>
        <w:t>establish</w:t>
      </w:r>
      <w:r w:rsidR="009A10F0">
        <w:rPr>
          <w:iCs/>
          <w:kern w:val="24"/>
        </w:rPr>
        <w:t xml:space="preserve"> at ERCOT</w:t>
      </w:r>
      <w:r w:rsidR="006F3981" w:rsidRPr="005879FE">
        <w:rPr>
          <w:iCs/>
          <w:kern w:val="24"/>
        </w:rPr>
        <w:t xml:space="preserve"> processes for assessment and collection of </w:t>
      </w:r>
      <w:r w:rsidR="00E90E16">
        <w:rPr>
          <w:iCs/>
          <w:kern w:val="24"/>
        </w:rPr>
        <w:t>d</w:t>
      </w:r>
      <w:r w:rsidR="006F3981" w:rsidRPr="005879FE">
        <w:rPr>
          <w:iCs/>
          <w:kern w:val="24"/>
        </w:rPr>
        <w:t xml:space="preserve">efault </w:t>
      </w:r>
      <w:r w:rsidR="00E90E16">
        <w:rPr>
          <w:iCs/>
          <w:kern w:val="24"/>
        </w:rPr>
        <w:t>c</w:t>
      </w:r>
      <w:r w:rsidR="006F3981" w:rsidRPr="005879FE">
        <w:rPr>
          <w:iCs/>
          <w:kern w:val="24"/>
        </w:rPr>
        <w:t xml:space="preserve">harges and </w:t>
      </w:r>
      <w:r w:rsidR="00E90E16">
        <w:rPr>
          <w:iCs/>
          <w:kern w:val="24"/>
        </w:rPr>
        <w:t>d</w:t>
      </w:r>
      <w:r w:rsidR="006F3981" w:rsidRPr="005879FE">
        <w:rPr>
          <w:iCs/>
          <w:kern w:val="24"/>
        </w:rPr>
        <w:t xml:space="preserve">efault </w:t>
      </w:r>
      <w:r w:rsidR="00E90E16">
        <w:rPr>
          <w:iCs/>
          <w:kern w:val="24"/>
        </w:rPr>
        <w:t>e</w:t>
      </w:r>
      <w:r w:rsidR="006F3981" w:rsidRPr="005879FE">
        <w:rPr>
          <w:iCs/>
          <w:kern w:val="24"/>
        </w:rPr>
        <w:t>scrow as reflected in the D</w:t>
      </w:r>
      <w:r w:rsidR="0053383B">
        <w:rPr>
          <w:iCs/>
          <w:kern w:val="24"/>
        </w:rPr>
        <w:t>ebt Obligation Order</w:t>
      </w:r>
      <w:r w:rsidR="006F3981" w:rsidRPr="005879FE">
        <w:rPr>
          <w:iCs/>
          <w:kern w:val="24"/>
        </w:rPr>
        <w:t xml:space="preserve"> issued in PUCT Docket No. 52321, Subchapter M, of PURA</w:t>
      </w:r>
      <w:r w:rsidR="006F3981">
        <w:rPr>
          <w:iCs/>
          <w:kern w:val="24"/>
        </w:rPr>
        <w:t>.</w:t>
      </w:r>
    </w:p>
    <w:p w14:paraId="73F54A73" w14:textId="597326CE" w:rsidR="00671FE8" w:rsidRPr="00CA39EF" w:rsidRDefault="002425DE" w:rsidP="00671FE8">
      <w:pPr>
        <w:pStyle w:val="preamble"/>
        <w:numPr>
          <w:ilvl w:val="0"/>
          <w:numId w:val="26"/>
        </w:numPr>
        <w:spacing w:after="240" w:line="360" w:lineRule="auto"/>
        <w:rPr>
          <w:szCs w:val="24"/>
        </w:rPr>
      </w:pPr>
      <w:bookmarkStart w:id="9" w:name="_Hlk80190196"/>
      <w:r w:rsidRPr="00300804">
        <w:rPr>
          <w:szCs w:val="24"/>
        </w:rPr>
        <w:t>NPRR</w:t>
      </w:r>
      <w:r>
        <w:rPr>
          <w:szCs w:val="24"/>
        </w:rPr>
        <w:t>1104</w:t>
      </w:r>
      <w:r w:rsidR="00671FE8">
        <w:rPr>
          <w:szCs w:val="24"/>
        </w:rPr>
        <w:t xml:space="preserve">, </w:t>
      </w:r>
      <w:r w:rsidR="00E22870" w:rsidRPr="00E22870">
        <w:rPr>
          <w:i/>
          <w:iCs/>
          <w:szCs w:val="24"/>
        </w:rPr>
        <w:t>As-Built Definition of Real Time Liability Extrapolated (RTLE)</w:t>
      </w:r>
      <w:bookmarkEnd w:id="9"/>
      <w:r w:rsidR="00671FE8">
        <w:rPr>
          <w:szCs w:val="24"/>
        </w:rPr>
        <w:t xml:space="preserve">. Staff recommends approval in support of </w:t>
      </w:r>
      <w:r w:rsidR="00671FE8">
        <w:t xml:space="preserve">ERCOT’s attempt to align </w:t>
      </w:r>
      <w:r w:rsidR="00DA563B">
        <w:t xml:space="preserve">the definition of RTLE </w:t>
      </w:r>
      <w:r w:rsidR="001007D3">
        <w:t xml:space="preserve">with current credit system and risk assessments </w:t>
      </w:r>
      <w:r w:rsidR="004F12D6">
        <w:t>by including</w:t>
      </w:r>
      <w:r w:rsidR="00DA563B">
        <w:t xml:space="preserve"> market activity for </w:t>
      </w:r>
      <w:r w:rsidR="00E90E16">
        <w:t>e</w:t>
      </w:r>
      <w:r w:rsidR="00DA563B">
        <w:t xml:space="preserve">ntities that have no </w:t>
      </w:r>
      <w:r w:rsidR="00E90E16">
        <w:t>l</w:t>
      </w:r>
      <w:r w:rsidR="00DA563B">
        <w:t xml:space="preserve">oad or generation but have </w:t>
      </w:r>
      <w:r w:rsidR="00E90E16">
        <w:t>r</w:t>
      </w:r>
      <w:r w:rsidR="00DA563B">
        <w:t>eal-</w:t>
      </w:r>
      <w:r w:rsidR="00E90E16">
        <w:t>t</w:t>
      </w:r>
      <w:r w:rsidR="00DA563B">
        <w:t>ime exposure</w:t>
      </w:r>
      <w:bookmarkStart w:id="10" w:name="_Hlk80190215"/>
      <w:r w:rsidR="00671FE8">
        <w:t>.</w:t>
      </w:r>
    </w:p>
    <w:p w14:paraId="58E6A0A3" w14:textId="77777777" w:rsidR="00483145" w:rsidRPr="00483145" w:rsidRDefault="00CA39EF" w:rsidP="00671FE8">
      <w:pPr>
        <w:pStyle w:val="preamble"/>
        <w:numPr>
          <w:ilvl w:val="0"/>
          <w:numId w:val="26"/>
        </w:numPr>
        <w:spacing w:after="240" w:line="360" w:lineRule="auto"/>
        <w:rPr>
          <w:szCs w:val="24"/>
        </w:rPr>
      </w:pPr>
      <w:r w:rsidRPr="00300804">
        <w:rPr>
          <w:szCs w:val="24"/>
        </w:rPr>
        <w:t>NPRR</w:t>
      </w:r>
      <w:r>
        <w:rPr>
          <w:szCs w:val="24"/>
        </w:rPr>
        <w:t xml:space="preserve">1105, </w:t>
      </w:r>
      <w:r w:rsidR="00D94C65">
        <w:rPr>
          <w:i/>
          <w:iCs/>
          <w:szCs w:val="24"/>
        </w:rPr>
        <w:t>Op</w:t>
      </w:r>
      <w:r w:rsidR="00361C12" w:rsidRPr="00361C12">
        <w:rPr>
          <w:i/>
          <w:iCs/>
          <w:szCs w:val="24"/>
        </w:rPr>
        <w:t>tion to Deploy Distribution Voltage Reduction Measures Prior to Energy Emergency Alert (EEA)</w:t>
      </w:r>
      <w:r>
        <w:rPr>
          <w:szCs w:val="24"/>
        </w:rPr>
        <w:t xml:space="preserve">.  Staff recommends approval </w:t>
      </w:r>
      <w:r w:rsidR="0042067E">
        <w:rPr>
          <w:szCs w:val="24"/>
        </w:rPr>
        <w:t xml:space="preserve">to </w:t>
      </w:r>
      <w:r w:rsidR="0042067E" w:rsidRPr="0042067E">
        <w:rPr>
          <w:szCs w:val="24"/>
        </w:rPr>
        <w:t xml:space="preserve">implement in the ERCOT Protocols the direction provided by the </w:t>
      </w:r>
      <w:r w:rsidR="0042067E">
        <w:rPr>
          <w:szCs w:val="24"/>
        </w:rPr>
        <w:t>Commission and</w:t>
      </w:r>
      <w:r w:rsidR="00ED3BB6">
        <w:t xml:space="preserve"> enhance</w:t>
      </w:r>
      <w:r w:rsidR="00D94C65" w:rsidRPr="00D94C65">
        <w:t xml:space="preserve"> </w:t>
      </w:r>
      <w:r w:rsidR="00F01F87">
        <w:t>grid operations</w:t>
      </w:r>
      <w:r w:rsidR="00D94C65" w:rsidRPr="00D94C65">
        <w:t xml:space="preserve"> by providing ERCOT the additional tool of voltage reduction measures before declaration of an EEA.</w:t>
      </w:r>
    </w:p>
    <w:p w14:paraId="37D6739C" w14:textId="77777777" w:rsidR="00483145" w:rsidRPr="00483145" w:rsidRDefault="00CA39EF" w:rsidP="00671FE8">
      <w:pPr>
        <w:pStyle w:val="preamble"/>
        <w:numPr>
          <w:ilvl w:val="0"/>
          <w:numId w:val="26"/>
        </w:numPr>
        <w:spacing w:after="240" w:line="360" w:lineRule="auto"/>
        <w:rPr>
          <w:szCs w:val="24"/>
        </w:rPr>
      </w:pPr>
      <w:r w:rsidRPr="00483145">
        <w:rPr>
          <w:szCs w:val="24"/>
        </w:rPr>
        <w:t xml:space="preserve">NPRR1106, </w:t>
      </w:r>
      <w:r w:rsidR="00C34F72" w:rsidRPr="00483145">
        <w:rPr>
          <w:i/>
          <w:iCs/>
          <w:szCs w:val="24"/>
        </w:rPr>
        <w:t>Deployment of Emergency Response Service (ERS) Prior to Declaration of Energy Emergency Alert (EEA)</w:t>
      </w:r>
      <w:r w:rsidRPr="00483145">
        <w:rPr>
          <w:szCs w:val="24"/>
        </w:rPr>
        <w:t xml:space="preserve">.  Staff recommends approval </w:t>
      </w:r>
      <w:r w:rsidR="00C34F72" w:rsidRPr="00483145">
        <w:rPr>
          <w:szCs w:val="24"/>
        </w:rPr>
        <w:t>to implement in the ERCOT Protocols the direction provided by the Commission</w:t>
      </w:r>
      <w:r w:rsidR="005C4B19" w:rsidRPr="00483145">
        <w:rPr>
          <w:szCs w:val="24"/>
        </w:rPr>
        <w:t xml:space="preserve"> and enhance ERCOT’s operational tools to address potential reliability outcomes</w:t>
      </w:r>
      <w:r>
        <w:t>.</w:t>
      </w:r>
    </w:p>
    <w:p w14:paraId="24361896" w14:textId="3AE4F74B" w:rsidR="00671FE8" w:rsidRPr="00300804" w:rsidRDefault="002425DE" w:rsidP="00671FE8">
      <w:pPr>
        <w:pStyle w:val="preamble"/>
        <w:numPr>
          <w:ilvl w:val="0"/>
          <w:numId w:val="26"/>
        </w:numPr>
        <w:spacing w:after="240" w:line="360" w:lineRule="auto"/>
        <w:rPr>
          <w:szCs w:val="24"/>
        </w:rPr>
      </w:pPr>
      <w:r w:rsidRPr="00300804">
        <w:rPr>
          <w:szCs w:val="24"/>
        </w:rPr>
        <w:t>NPRR1</w:t>
      </w:r>
      <w:r>
        <w:rPr>
          <w:szCs w:val="24"/>
        </w:rPr>
        <w:t>107</w:t>
      </w:r>
      <w:r w:rsidR="00671FE8">
        <w:rPr>
          <w:szCs w:val="24"/>
        </w:rPr>
        <w:t xml:space="preserve">, </w:t>
      </w:r>
      <w:r w:rsidR="00962B20" w:rsidRPr="00962B20">
        <w:rPr>
          <w:i/>
          <w:iCs/>
          <w:szCs w:val="24"/>
        </w:rPr>
        <w:t>Addition of Weatherization Inspection Fees to the ERCOT Fee Schedule and Clarification of Generation Interconnection Request Fees</w:t>
      </w:r>
      <w:r w:rsidR="00671FE8">
        <w:rPr>
          <w:szCs w:val="24"/>
        </w:rPr>
        <w:t xml:space="preserve">. </w:t>
      </w:r>
      <w:bookmarkEnd w:id="10"/>
      <w:r w:rsidR="00671FE8">
        <w:rPr>
          <w:szCs w:val="24"/>
        </w:rPr>
        <w:t xml:space="preserve">Staff recommends approval </w:t>
      </w:r>
      <w:r w:rsidR="00671FE8" w:rsidRPr="003C4A94">
        <w:rPr>
          <w:szCs w:val="24"/>
        </w:rPr>
        <w:t xml:space="preserve">to </w:t>
      </w:r>
      <w:r w:rsidR="00100B85">
        <w:rPr>
          <w:szCs w:val="24"/>
        </w:rPr>
        <w:t xml:space="preserve">recover costs relating to </w:t>
      </w:r>
      <w:r w:rsidR="00033EA6">
        <w:rPr>
          <w:szCs w:val="24"/>
        </w:rPr>
        <w:t xml:space="preserve">new </w:t>
      </w:r>
      <w:r w:rsidR="00962B20" w:rsidRPr="00962B20">
        <w:rPr>
          <w:szCs w:val="24"/>
        </w:rPr>
        <w:t>regulatory requirements</w:t>
      </w:r>
      <w:r w:rsidR="00100B85">
        <w:rPr>
          <w:szCs w:val="24"/>
        </w:rPr>
        <w:t xml:space="preserve"> </w:t>
      </w:r>
      <w:r w:rsidR="00B21723">
        <w:rPr>
          <w:szCs w:val="24"/>
        </w:rPr>
        <w:t>separately from the System Administration Fee</w:t>
      </w:r>
      <w:r w:rsidR="00962B20" w:rsidRPr="00962B20">
        <w:rPr>
          <w:szCs w:val="24"/>
        </w:rPr>
        <w:t xml:space="preserve"> and clarify that existing </w:t>
      </w:r>
      <w:r w:rsidR="00656EDF">
        <w:rPr>
          <w:szCs w:val="24"/>
        </w:rPr>
        <w:t>generation interconnection request</w:t>
      </w:r>
      <w:r w:rsidR="00656EDF" w:rsidRPr="00962B20">
        <w:rPr>
          <w:szCs w:val="24"/>
        </w:rPr>
        <w:t xml:space="preserve"> </w:t>
      </w:r>
      <w:r w:rsidR="00962B20" w:rsidRPr="00962B20">
        <w:rPr>
          <w:szCs w:val="24"/>
        </w:rPr>
        <w:t>fees apply to all generation interconnection projects.</w:t>
      </w:r>
      <w:r w:rsidR="00100B85" w:rsidRPr="00100B85">
        <w:rPr>
          <w:iCs/>
          <w:kern w:val="24"/>
        </w:rPr>
        <w:t xml:space="preserve"> </w:t>
      </w:r>
    </w:p>
    <w:p w14:paraId="4A5A013E" w14:textId="6739D4F8" w:rsidR="00671FE8" w:rsidRPr="002425DE" w:rsidRDefault="002425DE" w:rsidP="002425DE">
      <w:pPr>
        <w:pStyle w:val="preamble"/>
        <w:numPr>
          <w:ilvl w:val="0"/>
          <w:numId w:val="26"/>
        </w:numPr>
        <w:spacing w:after="240" w:line="360" w:lineRule="auto"/>
        <w:rPr>
          <w:szCs w:val="24"/>
        </w:rPr>
      </w:pPr>
      <w:bookmarkStart w:id="11" w:name="_Hlk80190256"/>
      <w:r w:rsidRPr="00300804">
        <w:rPr>
          <w:szCs w:val="24"/>
        </w:rPr>
        <w:t>NPRR</w:t>
      </w:r>
      <w:r>
        <w:rPr>
          <w:szCs w:val="24"/>
        </w:rPr>
        <w:t>110</w:t>
      </w:r>
      <w:r w:rsidR="00CA39EF">
        <w:rPr>
          <w:szCs w:val="24"/>
        </w:rPr>
        <w:t>9</w:t>
      </w:r>
      <w:r w:rsidR="00671FE8" w:rsidRPr="002425DE">
        <w:rPr>
          <w:szCs w:val="24"/>
        </w:rPr>
        <w:t xml:space="preserve">, </w:t>
      </w:r>
      <w:r w:rsidR="009945C9" w:rsidRPr="009945C9">
        <w:rPr>
          <w:i/>
          <w:iCs/>
          <w:szCs w:val="24"/>
        </w:rPr>
        <w:tab/>
        <w:t>Process for Reinstating Decommissioned Generation Resource</w:t>
      </w:r>
      <w:r w:rsidR="00CE51EA">
        <w:rPr>
          <w:i/>
          <w:iCs/>
          <w:szCs w:val="24"/>
        </w:rPr>
        <w:t>s</w:t>
      </w:r>
      <w:r w:rsidR="00671FE8" w:rsidRPr="002425DE">
        <w:rPr>
          <w:szCs w:val="24"/>
        </w:rPr>
        <w:t>.</w:t>
      </w:r>
      <w:bookmarkEnd w:id="11"/>
      <w:r w:rsidR="00671FE8" w:rsidRPr="002425DE">
        <w:rPr>
          <w:szCs w:val="24"/>
        </w:rPr>
        <w:t xml:space="preserve"> Staff recommends approval to </w:t>
      </w:r>
      <w:r w:rsidR="00FE7283">
        <w:rPr>
          <w:szCs w:val="24"/>
        </w:rPr>
        <w:t xml:space="preserve">balance the ability for </w:t>
      </w:r>
      <w:r w:rsidR="00656EDF">
        <w:rPr>
          <w:rFonts w:cs="Arial"/>
        </w:rPr>
        <w:t>g</w:t>
      </w:r>
      <w:r w:rsidR="00FE7283" w:rsidRPr="00EC03F3">
        <w:rPr>
          <w:rFonts w:cs="Arial"/>
        </w:rPr>
        <w:t xml:space="preserve">eneration </w:t>
      </w:r>
      <w:r w:rsidR="00656EDF">
        <w:rPr>
          <w:rFonts w:cs="Arial"/>
        </w:rPr>
        <w:t>r</w:t>
      </w:r>
      <w:r w:rsidR="00FE7283" w:rsidRPr="00EC03F3">
        <w:rPr>
          <w:rFonts w:cs="Arial"/>
        </w:rPr>
        <w:t xml:space="preserve">esources that have been </w:t>
      </w:r>
      <w:r w:rsidR="00FE7283" w:rsidRPr="00EC03F3">
        <w:rPr>
          <w:rFonts w:cs="Arial"/>
        </w:rPr>
        <w:lastRenderedPageBreak/>
        <w:t>recently decommissioned and retired to return to service while granting ERCOT and the interconnecting</w:t>
      </w:r>
      <w:r w:rsidR="00CF002B">
        <w:rPr>
          <w:rFonts w:cs="Arial"/>
        </w:rPr>
        <w:t xml:space="preserve"> utility</w:t>
      </w:r>
      <w:r w:rsidR="00FE7283" w:rsidRPr="00EC03F3">
        <w:rPr>
          <w:rFonts w:cs="Arial"/>
        </w:rPr>
        <w:t xml:space="preserve"> the authority to require any studies, testing, metering, or upgrades deemed necessary, and address any operational</w:t>
      </w:r>
      <w:r w:rsidR="00A7617A">
        <w:rPr>
          <w:rFonts w:cs="Arial"/>
        </w:rPr>
        <w:t xml:space="preserve"> concerns</w:t>
      </w:r>
      <w:r w:rsidR="00FE7283">
        <w:rPr>
          <w:rFonts w:cs="Arial"/>
        </w:rPr>
        <w:t>.</w:t>
      </w:r>
    </w:p>
    <w:p w14:paraId="383FE31A" w14:textId="77777777" w:rsidR="00CF002B" w:rsidRDefault="00F263A7" w:rsidP="00924AFA">
      <w:pPr>
        <w:pStyle w:val="preamble"/>
        <w:numPr>
          <w:ilvl w:val="0"/>
          <w:numId w:val="26"/>
        </w:numPr>
        <w:spacing w:after="240" w:line="360" w:lineRule="auto"/>
        <w:rPr>
          <w:szCs w:val="24"/>
        </w:rPr>
      </w:pPr>
      <w:bookmarkStart w:id="12" w:name="_Hlk80190291"/>
      <w:r w:rsidRPr="0037219B">
        <w:rPr>
          <w:szCs w:val="24"/>
        </w:rPr>
        <w:t>NOGRR233</w:t>
      </w:r>
      <w:r w:rsidR="00671FE8" w:rsidRPr="0037219B">
        <w:rPr>
          <w:szCs w:val="24"/>
        </w:rPr>
        <w:t xml:space="preserve">, </w:t>
      </w:r>
      <w:r w:rsidR="0037219B" w:rsidRPr="0037219B">
        <w:rPr>
          <w:i/>
          <w:iCs/>
          <w:szCs w:val="24"/>
        </w:rPr>
        <w:t>Related to NPRR1094, Allow Under Frequency Relay Load to be Manually Shed During EEA3</w:t>
      </w:r>
      <w:r w:rsidR="00671FE8" w:rsidRPr="0037219B">
        <w:rPr>
          <w:szCs w:val="24"/>
        </w:rPr>
        <w:t xml:space="preserve">.  </w:t>
      </w:r>
      <w:bookmarkEnd w:id="12"/>
      <w:r w:rsidR="0037219B">
        <w:rPr>
          <w:szCs w:val="24"/>
        </w:rPr>
        <w:t xml:space="preserve">Staff recommends approval in support of the </w:t>
      </w:r>
      <w:r w:rsidR="0037219B" w:rsidRPr="00E440C2">
        <w:rPr>
          <w:szCs w:val="24"/>
        </w:rPr>
        <w:t>improve</w:t>
      </w:r>
      <w:r w:rsidR="0037219B">
        <w:rPr>
          <w:szCs w:val="24"/>
        </w:rPr>
        <w:t>d</w:t>
      </w:r>
      <w:r w:rsidR="0037219B" w:rsidRPr="00E440C2">
        <w:rPr>
          <w:szCs w:val="24"/>
        </w:rPr>
        <w:t xml:space="preserve"> efficiency and reliability </w:t>
      </w:r>
      <w:r w:rsidR="0037219B">
        <w:rPr>
          <w:szCs w:val="24"/>
        </w:rPr>
        <w:t>provided by NPRR1094</w:t>
      </w:r>
      <w:r w:rsidR="0037219B" w:rsidRPr="00E440C2">
        <w:rPr>
          <w:szCs w:val="24"/>
        </w:rPr>
        <w:t>.</w:t>
      </w:r>
    </w:p>
    <w:p w14:paraId="48F39D32" w14:textId="1A56A26D" w:rsidR="00924AFA" w:rsidRPr="00300804" w:rsidRDefault="00F263A7" w:rsidP="00924AFA">
      <w:pPr>
        <w:pStyle w:val="preamble"/>
        <w:numPr>
          <w:ilvl w:val="0"/>
          <w:numId w:val="26"/>
        </w:numPr>
        <w:spacing w:after="240" w:line="360" w:lineRule="auto"/>
        <w:rPr>
          <w:szCs w:val="24"/>
        </w:rPr>
      </w:pPr>
      <w:r w:rsidRPr="0037219B">
        <w:rPr>
          <w:szCs w:val="24"/>
        </w:rPr>
        <w:t xml:space="preserve">NOGRR236, </w:t>
      </w:r>
      <w:r w:rsidR="00924AFA">
        <w:rPr>
          <w:i/>
          <w:iCs/>
          <w:szCs w:val="24"/>
        </w:rPr>
        <w:t>Re</w:t>
      </w:r>
      <w:r w:rsidR="00924AFA" w:rsidRPr="00924AFA">
        <w:rPr>
          <w:i/>
          <w:iCs/>
          <w:szCs w:val="24"/>
        </w:rPr>
        <w:t>lated to NPRR1105, Option to Deploy Distribution Voltage Reduction Measures Prior to Energy Emergency Alert (EEA)</w:t>
      </w:r>
      <w:r w:rsidRPr="0037219B">
        <w:rPr>
          <w:szCs w:val="24"/>
        </w:rPr>
        <w:t xml:space="preserve">.  Staff recommends approval in support </w:t>
      </w:r>
      <w:r w:rsidR="007D4FA5">
        <w:t xml:space="preserve">of </w:t>
      </w:r>
      <w:r w:rsidR="00CF0180" w:rsidRPr="0042067E">
        <w:rPr>
          <w:szCs w:val="24"/>
        </w:rPr>
        <w:t>implement</w:t>
      </w:r>
      <w:r w:rsidR="00CF0180">
        <w:rPr>
          <w:szCs w:val="24"/>
        </w:rPr>
        <w:t>ation</w:t>
      </w:r>
      <w:r w:rsidR="00924AFA" w:rsidRPr="0042067E">
        <w:rPr>
          <w:szCs w:val="24"/>
        </w:rPr>
        <w:t xml:space="preserve"> in the ERCOT </w:t>
      </w:r>
      <w:r w:rsidR="00CF0180">
        <w:rPr>
          <w:szCs w:val="24"/>
        </w:rPr>
        <w:t>Nodal Operating Guide</w:t>
      </w:r>
      <w:r w:rsidR="00533B9B">
        <w:rPr>
          <w:szCs w:val="24"/>
        </w:rPr>
        <w:t xml:space="preserve"> </w:t>
      </w:r>
      <w:r w:rsidR="00924AFA" w:rsidRPr="0042067E">
        <w:rPr>
          <w:szCs w:val="24"/>
        </w:rPr>
        <w:t xml:space="preserve">the direction provided by the </w:t>
      </w:r>
      <w:r w:rsidR="00924AFA">
        <w:rPr>
          <w:szCs w:val="24"/>
        </w:rPr>
        <w:t xml:space="preserve">Commission </w:t>
      </w:r>
      <w:r w:rsidR="00533B9B">
        <w:rPr>
          <w:szCs w:val="24"/>
        </w:rPr>
        <w:t>related to</w:t>
      </w:r>
      <w:r w:rsidR="00924AFA" w:rsidRPr="00D94C65">
        <w:t xml:space="preserve"> voltage reduction measures before declaration of an EEA.</w:t>
      </w:r>
      <w:r w:rsidR="00CF0180">
        <w:t xml:space="preserve"> </w:t>
      </w:r>
    </w:p>
    <w:p w14:paraId="31ABCD82" w14:textId="775770E2" w:rsidR="00F263A7" w:rsidRPr="001D2C36" w:rsidRDefault="00F263A7" w:rsidP="00F263A7">
      <w:pPr>
        <w:pStyle w:val="preamble"/>
        <w:numPr>
          <w:ilvl w:val="0"/>
          <w:numId w:val="26"/>
        </w:numPr>
        <w:spacing w:after="240" w:line="360" w:lineRule="auto"/>
        <w:rPr>
          <w:szCs w:val="24"/>
        </w:rPr>
      </w:pPr>
      <w:r w:rsidRPr="0026288C">
        <w:rPr>
          <w:szCs w:val="24"/>
        </w:rPr>
        <w:t>NOGRR</w:t>
      </w:r>
      <w:r>
        <w:rPr>
          <w:szCs w:val="24"/>
        </w:rPr>
        <w:t>237</w:t>
      </w:r>
      <w:r w:rsidRPr="0026288C">
        <w:rPr>
          <w:szCs w:val="24"/>
        </w:rPr>
        <w:t xml:space="preserve">, </w:t>
      </w:r>
      <w:r w:rsidR="000248AB" w:rsidRPr="000248AB">
        <w:rPr>
          <w:i/>
          <w:iCs/>
          <w:szCs w:val="24"/>
        </w:rPr>
        <w:t>Related to NPRR1106, Deployment of Emergency Response Service (ERS) Prior to Declaration of Energy Emergency Alert (EEA)</w:t>
      </w:r>
      <w:r w:rsidRPr="0026288C">
        <w:rPr>
          <w:szCs w:val="24"/>
        </w:rPr>
        <w:t xml:space="preserve">. </w:t>
      </w:r>
      <w:r w:rsidR="000248AB">
        <w:rPr>
          <w:szCs w:val="24"/>
        </w:rPr>
        <w:t xml:space="preserve">Staff recommends approval to </w:t>
      </w:r>
      <w:r w:rsidR="000248AB" w:rsidRPr="0042067E">
        <w:rPr>
          <w:szCs w:val="24"/>
        </w:rPr>
        <w:t xml:space="preserve">implement in the ERCOT </w:t>
      </w:r>
      <w:r w:rsidR="00F87042">
        <w:rPr>
          <w:szCs w:val="24"/>
        </w:rPr>
        <w:t xml:space="preserve">Nodal Operating Guide </w:t>
      </w:r>
      <w:r w:rsidR="000248AB" w:rsidRPr="0042067E">
        <w:rPr>
          <w:szCs w:val="24"/>
        </w:rPr>
        <w:t xml:space="preserve">the direction provided by the </w:t>
      </w:r>
      <w:r w:rsidR="000248AB">
        <w:rPr>
          <w:szCs w:val="24"/>
        </w:rPr>
        <w:t xml:space="preserve">Commission and </w:t>
      </w:r>
      <w:r w:rsidR="000248AB" w:rsidRPr="005C4B19">
        <w:rPr>
          <w:szCs w:val="24"/>
        </w:rPr>
        <w:t>enhance ERCOT’s operational tools to address potential reliability outcome</w:t>
      </w:r>
      <w:r w:rsidR="00F87042">
        <w:rPr>
          <w:szCs w:val="24"/>
        </w:rPr>
        <w:t>s</w:t>
      </w:r>
      <w:r w:rsidR="003437D5">
        <w:rPr>
          <w:szCs w:val="24"/>
        </w:rPr>
        <w:t xml:space="preserve"> as provided by NPRR 1106</w:t>
      </w:r>
      <w:r w:rsidR="00F87042">
        <w:rPr>
          <w:szCs w:val="24"/>
        </w:rPr>
        <w:t>.</w:t>
      </w:r>
    </w:p>
    <w:p w14:paraId="3D7587BB" w14:textId="46A243B1" w:rsidR="001D2C36" w:rsidRDefault="001D2C36" w:rsidP="00F263A7">
      <w:pPr>
        <w:pStyle w:val="preamble"/>
        <w:numPr>
          <w:ilvl w:val="0"/>
          <w:numId w:val="26"/>
        </w:numPr>
        <w:spacing w:after="240" w:line="360" w:lineRule="auto"/>
        <w:rPr>
          <w:szCs w:val="24"/>
        </w:rPr>
      </w:pPr>
      <w:r>
        <w:rPr>
          <w:szCs w:val="24"/>
        </w:rPr>
        <w:t>OBDRR035</w:t>
      </w:r>
      <w:r w:rsidR="00980D1F">
        <w:rPr>
          <w:szCs w:val="24"/>
        </w:rPr>
        <w:t xml:space="preserve">, </w:t>
      </w:r>
      <w:r w:rsidR="00980D1F" w:rsidRPr="0086761C">
        <w:rPr>
          <w:i/>
          <w:iCs/>
          <w:szCs w:val="24"/>
        </w:rPr>
        <w:t>Related to NPRR1101, Create Non-Spin Deployment Groups made up of Generation Resources Providing Off-Line Non-Spinning Reserve and Load Resources that are Not Controllable Load Resources Providing Non-Spinning Reserve</w:t>
      </w:r>
      <w:r w:rsidR="00980D1F">
        <w:rPr>
          <w:szCs w:val="24"/>
        </w:rPr>
        <w:t xml:space="preserve">.  </w:t>
      </w:r>
      <w:r w:rsidR="00980D1F" w:rsidRPr="00AB4C30">
        <w:rPr>
          <w:szCs w:val="24"/>
        </w:rPr>
        <w:t xml:space="preserve">Staff recommends approval in support of the </w:t>
      </w:r>
      <w:r w:rsidR="00980D1F">
        <w:rPr>
          <w:szCs w:val="24"/>
        </w:rPr>
        <w:t xml:space="preserve">continued efforts to increase </w:t>
      </w:r>
      <w:r w:rsidR="0086761C">
        <w:rPr>
          <w:szCs w:val="24"/>
        </w:rPr>
        <w:t xml:space="preserve">the procurement of </w:t>
      </w:r>
      <w:r w:rsidR="00980D1F">
        <w:rPr>
          <w:szCs w:val="24"/>
        </w:rPr>
        <w:t>ancillary service</w:t>
      </w:r>
      <w:r w:rsidR="0086761C">
        <w:rPr>
          <w:szCs w:val="24"/>
        </w:rPr>
        <w:t>s</w:t>
      </w:r>
      <w:r w:rsidR="00980D1F">
        <w:rPr>
          <w:szCs w:val="24"/>
        </w:rPr>
        <w:t xml:space="preserve"> and deploy</w:t>
      </w:r>
      <w:r w:rsidR="00980D1F" w:rsidRPr="00874A6E">
        <w:rPr>
          <w:szCs w:val="24"/>
        </w:rPr>
        <w:t xml:space="preserve"> </w:t>
      </w:r>
      <w:proofErr w:type="gramStart"/>
      <w:r w:rsidR="00980D1F" w:rsidRPr="00874A6E">
        <w:rPr>
          <w:szCs w:val="24"/>
        </w:rPr>
        <w:t>Non-Spin</w:t>
      </w:r>
      <w:proofErr w:type="gramEnd"/>
      <w:r w:rsidR="00980D1F" w:rsidRPr="00874A6E">
        <w:rPr>
          <w:szCs w:val="24"/>
        </w:rPr>
        <w:t xml:space="preserve"> in a technology agnostic manner</w:t>
      </w:r>
      <w:r w:rsidR="00505DA2">
        <w:rPr>
          <w:szCs w:val="24"/>
        </w:rPr>
        <w:t>.</w:t>
      </w:r>
    </w:p>
    <w:p w14:paraId="35773C35" w14:textId="5812DE85" w:rsidR="001D2C36" w:rsidRPr="00F263A7" w:rsidRDefault="001D2C36" w:rsidP="00F263A7">
      <w:pPr>
        <w:pStyle w:val="preamble"/>
        <w:numPr>
          <w:ilvl w:val="0"/>
          <w:numId w:val="26"/>
        </w:numPr>
        <w:spacing w:after="240" w:line="360" w:lineRule="auto"/>
        <w:rPr>
          <w:szCs w:val="24"/>
        </w:rPr>
      </w:pPr>
      <w:r>
        <w:rPr>
          <w:szCs w:val="24"/>
        </w:rPr>
        <w:t>OBDRR036</w:t>
      </w:r>
      <w:r w:rsidR="00065903">
        <w:rPr>
          <w:szCs w:val="24"/>
        </w:rPr>
        <w:t xml:space="preserve">, </w:t>
      </w:r>
      <w:r w:rsidR="00065903" w:rsidRPr="006032EF">
        <w:rPr>
          <w:i/>
          <w:iCs/>
          <w:szCs w:val="24"/>
        </w:rPr>
        <w:t>Related to NPRR1106, Deployment of Emergency Response Service (ERS) Prior to Declaration of Energy Emergency Alert (EEA)</w:t>
      </w:r>
      <w:r w:rsidR="00065903">
        <w:rPr>
          <w:szCs w:val="24"/>
        </w:rPr>
        <w:t>.</w:t>
      </w:r>
      <w:r w:rsidR="00963A99">
        <w:rPr>
          <w:szCs w:val="24"/>
        </w:rPr>
        <w:t xml:space="preserve"> Staff recommends approval to </w:t>
      </w:r>
      <w:r w:rsidR="00963A99" w:rsidRPr="0042067E">
        <w:rPr>
          <w:szCs w:val="24"/>
        </w:rPr>
        <w:t xml:space="preserve">implement the direction provided by the </w:t>
      </w:r>
      <w:r w:rsidR="00963A99">
        <w:rPr>
          <w:szCs w:val="24"/>
        </w:rPr>
        <w:t xml:space="preserve">Commission and </w:t>
      </w:r>
      <w:r w:rsidR="00963A99" w:rsidRPr="005C4B19">
        <w:rPr>
          <w:szCs w:val="24"/>
        </w:rPr>
        <w:t>enhance ERCOT’s operational tools to address potential reliability outcomes</w:t>
      </w:r>
      <w:r w:rsidR="006032EF">
        <w:rPr>
          <w:szCs w:val="24"/>
        </w:rPr>
        <w:t xml:space="preserve"> as provided by NPRR 1106</w:t>
      </w:r>
      <w:r w:rsidR="004E48F1">
        <w:rPr>
          <w:szCs w:val="24"/>
        </w:rPr>
        <w:t>.</w:t>
      </w:r>
    </w:p>
    <w:p w14:paraId="6C2B5573" w14:textId="20C6BAF6" w:rsidR="00ED3119" w:rsidRPr="00ED3119" w:rsidRDefault="005E1E39" w:rsidP="00ED3119">
      <w:pPr>
        <w:pStyle w:val="preamble"/>
        <w:numPr>
          <w:ilvl w:val="0"/>
          <w:numId w:val="26"/>
        </w:numPr>
        <w:spacing w:after="240" w:line="360" w:lineRule="auto"/>
        <w:rPr>
          <w:szCs w:val="24"/>
        </w:rPr>
      </w:pPr>
      <w:bookmarkStart w:id="13" w:name="_Hlk80190331"/>
      <w:r w:rsidRPr="00300804">
        <w:rPr>
          <w:szCs w:val="24"/>
        </w:rPr>
        <w:t>PGRR</w:t>
      </w:r>
      <w:r>
        <w:rPr>
          <w:szCs w:val="24"/>
        </w:rPr>
        <w:t>092</w:t>
      </w:r>
      <w:r w:rsidR="00671FE8">
        <w:rPr>
          <w:szCs w:val="24"/>
        </w:rPr>
        <w:t xml:space="preserve">, </w:t>
      </w:r>
      <w:r w:rsidR="00121E09" w:rsidRPr="00121E09">
        <w:rPr>
          <w:i/>
          <w:iCs/>
          <w:szCs w:val="24"/>
        </w:rPr>
        <w:t>Related to NPRR1077, Extension of Self-Limiting Facility Concept to Settlement Only Generators (SOGs) and Telemetry Requirements for SOGs</w:t>
      </w:r>
      <w:bookmarkEnd w:id="13"/>
      <w:r w:rsidR="00671FE8">
        <w:rPr>
          <w:szCs w:val="24"/>
        </w:rPr>
        <w:t xml:space="preserve">.  </w:t>
      </w:r>
      <w:r w:rsidR="00ED3119" w:rsidRPr="00ED3119">
        <w:rPr>
          <w:szCs w:val="24"/>
        </w:rPr>
        <w:t xml:space="preserve">Staff </w:t>
      </w:r>
      <w:r w:rsidR="00ED3119" w:rsidRPr="00ED3119">
        <w:rPr>
          <w:szCs w:val="24"/>
        </w:rPr>
        <w:lastRenderedPageBreak/>
        <w:t>recommends approval in support of the extension of the self-limiting facility to SOGs</w:t>
      </w:r>
      <w:r w:rsidR="00170F84">
        <w:rPr>
          <w:szCs w:val="24"/>
        </w:rPr>
        <w:t xml:space="preserve"> </w:t>
      </w:r>
      <w:r w:rsidR="00B113DD">
        <w:t>consistent with NPRR1077</w:t>
      </w:r>
      <w:r w:rsidR="00ED3119" w:rsidRPr="00ED3119">
        <w:rPr>
          <w:rFonts w:cs="Arial"/>
        </w:rPr>
        <w:t>.</w:t>
      </w:r>
    </w:p>
    <w:p w14:paraId="66F4F05A" w14:textId="3E2C89C2" w:rsidR="00671FE8" w:rsidRPr="00FE0D12" w:rsidRDefault="005E1E39" w:rsidP="00FE0D12">
      <w:pPr>
        <w:pStyle w:val="preamble"/>
        <w:numPr>
          <w:ilvl w:val="0"/>
          <w:numId w:val="26"/>
        </w:numPr>
        <w:spacing w:line="360" w:lineRule="auto"/>
        <w:rPr>
          <w:szCs w:val="24"/>
        </w:rPr>
      </w:pPr>
      <w:r w:rsidRPr="00300804">
        <w:rPr>
          <w:szCs w:val="24"/>
        </w:rPr>
        <w:t>RRGRR</w:t>
      </w:r>
      <w:r>
        <w:rPr>
          <w:szCs w:val="24"/>
        </w:rPr>
        <w:t>029</w:t>
      </w:r>
      <w:r w:rsidR="00671FE8">
        <w:rPr>
          <w:szCs w:val="24"/>
        </w:rPr>
        <w:t xml:space="preserve">, </w:t>
      </w:r>
      <w:bookmarkStart w:id="14" w:name="_Hlk80190423"/>
      <w:r w:rsidR="00152772" w:rsidRPr="00152772">
        <w:rPr>
          <w:i/>
          <w:iCs/>
          <w:szCs w:val="24"/>
        </w:rPr>
        <w:t>Related to NPRR1077, Extension of Self-Limiting Facility Concept to Settlement Only Generators (SOGs) and Telemetry Requirements for SOGs</w:t>
      </w:r>
      <w:bookmarkEnd w:id="14"/>
      <w:r w:rsidR="00671FE8">
        <w:rPr>
          <w:szCs w:val="24"/>
        </w:rPr>
        <w:t xml:space="preserve">. </w:t>
      </w:r>
      <w:r w:rsidR="004C2926" w:rsidRPr="00ED3119">
        <w:rPr>
          <w:szCs w:val="24"/>
        </w:rPr>
        <w:t>Staff recommends approval in support of the extension of the self-limiting facility to SOGs</w:t>
      </w:r>
      <w:r w:rsidR="004C2926">
        <w:rPr>
          <w:szCs w:val="24"/>
        </w:rPr>
        <w:t xml:space="preserve"> </w:t>
      </w:r>
      <w:r w:rsidR="004C2926">
        <w:t>consistent with NPRR1077</w:t>
      </w:r>
      <w:r w:rsidR="004C2926" w:rsidRPr="00ED3119">
        <w:rPr>
          <w:rFonts w:cs="Arial"/>
        </w:rPr>
        <w:t>.</w:t>
      </w:r>
    </w:p>
    <w:bookmarkEnd w:id="3"/>
    <w:p w14:paraId="4DADB416" w14:textId="0C198A12" w:rsidR="00FE0D12" w:rsidRPr="00C43E05" w:rsidRDefault="00FE0D12" w:rsidP="00FE0D12">
      <w:pPr>
        <w:pStyle w:val="preamble"/>
        <w:spacing w:line="360" w:lineRule="auto"/>
        <w:ind w:left="720"/>
        <w:rPr>
          <w:sz w:val="8"/>
          <w:szCs w:val="8"/>
        </w:rPr>
      </w:pPr>
    </w:p>
    <w:p w14:paraId="4A754B5F" w14:textId="5330F396" w:rsidR="0065112C" w:rsidRPr="0065112C" w:rsidRDefault="0065112C" w:rsidP="00FE0D12">
      <w:pPr>
        <w:pStyle w:val="preamble"/>
        <w:spacing w:line="360" w:lineRule="auto"/>
        <w:rPr>
          <w:szCs w:val="24"/>
        </w:rPr>
      </w:pPr>
      <w:r w:rsidRPr="0065112C">
        <w:rPr>
          <w:szCs w:val="24"/>
        </w:rPr>
        <w:t>Included for your review are the B</w:t>
      </w:r>
      <w:r w:rsidR="00BA0316">
        <w:rPr>
          <w:szCs w:val="24"/>
        </w:rPr>
        <w:t>oard</w:t>
      </w:r>
      <w:r w:rsidRPr="0065112C">
        <w:rPr>
          <w:szCs w:val="24"/>
        </w:rPr>
        <w:t xml:space="preserve"> Report and ERCOT Impact Analysis.  These documents are intended to provide a comprehensive overview describing the revisions, including ERCOT’s market impact statement.  </w:t>
      </w:r>
    </w:p>
    <w:p w14:paraId="6E4C55B1" w14:textId="5C726A36" w:rsidR="008A7F5A" w:rsidRDefault="008A7F5A" w:rsidP="00390718">
      <w:pPr>
        <w:pStyle w:val="preamble"/>
        <w:spacing w:line="360" w:lineRule="auto"/>
        <w:rPr>
          <w:szCs w:val="24"/>
        </w:rPr>
      </w:pPr>
    </w:p>
    <w:p w14:paraId="13628C0B" w14:textId="41BD9B8F" w:rsidR="008A7F5A" w:rsidRPr="0006343D" w:rsidRDefault="008A7F5A" w:rsidP="008A7F5A">
      <w:pPr>
        <w:pStyle w:val="xxmsonormal"/>
        <w:spacing w:line="360" w:lineRule="auto"/>
        <w:jc w:val="both"/>
        <w:rPr>
          <w:rFonts w:ascii="Times New Roman" w:hAnsi="Times New Roman" w:cs="Times New Roman"/>
          <w:sz w:val="24"/>
          <w:szCs w:val="24"/>
        </w:rPr>
      </w:pPr>
      <w:r w:rsidRPr="00224DC2">
        <w:rPr>
          <w:rFonts w:ascii="Times New Roman" w:hAnsi="Times New Roman" w:cs="Times New Roman"/>
          <w:sz w:val="24"/>
          <w:szCs w:val="24"/>
        </w:rPr>
        <w:t xml:space="preserve">Finally, ERCOT has requested approval of </w:t>
      </w:r>
      <w:bookmarkStart w:id="15" w:name="_Hlk80190650"/>
      <w:r w:rsidRPr="00224DC2">
        <w:rPr>
          <w:rFonts w:ascii="Times New Roman" w:hAnsi="Times New Roman" w:cs="Times New Roman"/>
          <w:sz w:val="24"/>
          <w:szCs w:val="24"/>
        </w:rPr>
        <w:t xml:space="preserve">an Alignment NOGRR, </w:t>
      </w:r>
      <w:bookmarkStart w:id="16" w:name="_Hlk90469278"/>
      <w:r w:rsidRPr="00224DC2">
        <w:rPr>
          <w:rFonts w:ascii="Times New Roman" w:hAnsi="Times New Roman" w:cs="Times New Roman"/>
          <w:sz w:val="24"/>
          <w:szCs w:val="24"/>
        </w:rPr>
        <w:t>NOGRR</w:t>
      </w:r>
      <w:r w:rsidR="00973413" w:rsidRPr="00224DC2">
        <w:rPr>
          <w:rFonts w:ascii="Times New Roman" w:hAnsi="Times New Roman" w:cs="Times New Roman"/>
          <w:sz w:val="24"/>
          <w:szCs w:val="24"/>
        </w:rPr>
        <w:t>238</w:t>
      </w:r>
      <w:r w:rsidRPr="00224DC2">
        <w:rPr>
          <w:rFonts w:ascii="Times New Roman" w:hAnsi="Times New Roman" w:cs="Times New Roman"/>
          <w:sz w:val="24"/>
          <w:szCs w:val="24"/>
        </w:rPr>
        <w:t xml:space="preserve">, </w:t>
      </w:r>
      <w:r w:rsidR="00973413" w:rsidRPr="00224DC2">
        <w:rPr>
          <w:rFonts w:ascii="Times New Roman" w:hAnsi="Times New Roman" w:cs="Times New Roman"/>
          <w:i/>
          <w:iCs/>
          <w:sz w:val="24"/>
          <w:szCs w:val="24"/>
        </w:rPr>
        <w:t xml:space="preserve">Alignment Changes for December 17, </w:t>
      </w:r>
      <w:proofErr w:type="gramStart"/>
      <w:r w:rsidR="00973413" w:rsidRPr="00224DC2">
        <w:rPr>
          <w:rFonts w:ascii="Times New Roman" w:hAnsi="Times New Roman" w:cs="Times New Roman"/>
          <w:i/>
          <w:iCs/>
          <w:sz w:val="24"/>
          <w:szCs w:val="24"/>
        </w:rPr>
        <w:t>2021</w:t>
      </w:r>
      <w:proofErr w:type="gramEnd"/>
      <w:r w:rsidR="00973413" w:rsidRPr="00224DC2">
        <w:rPr>
          <w:rFonts w:ascii="Times New Roman" w:hAnsi="Times New Roman" w:cs="Times New Roman"/>
          <w:i/>
          <w:iCs/>
          <w:sz w:val="24"/>
          <w:szCs w:val="24"/>
        </w:rPr>
        <w:t xml:space="preserve"> Nodal Operating Guide – NPRR1094, NPRR1105, NPRR1106</w:t>
      </w:r>
      <w:r w:rsidRPr="00224DC2">
        <w:rPr>
          <w:rFonts w:ascii="Times New Roman" w:hAnsi="Times New Roman" w:cs="Times New Roman"/>
          <w:sz w:val="24"/>
          <w:szCs w:val="24"/>
        </w:rPr>
        <w:t>.</w:t>
      </w:r>
      <w:bookmarkEnd w:id="16"/>
      <w:r w:rsidRPr="00224DC2">
        <w:rPr>
          <w:rFonts w:ascii="Times New Roman" w:hAnsi="Times New Roman" w:cs="Times New Roman"/>
          <w:sz w:val="24"/>
          <w:szCs w:val="24"/>
        </w:rPr>
        <w:t xml:space="preserve">  Alignment NOGRRs are not considered through the stakeholder process.</w:t>
      </w:r>
      <w:bookmarkEnd w:id="15"/>
      <w:r w:rsidRPr="00224DC2">
        <w:rPr>
          <w:rFonts w:ascii="Times New Roman" w:hAnsi="Times New Roman" w:cs="Times New Roman"/>
          <w:sz w:val="24"/>
          <w:szCs w:val="24"/>
        </w:rPr>
        <w:t xml:space="preserve">  Instead, an Alignment NOGRR allows ERCOT to make modifications to the Operating Guides for the purpose of maintaining duplicate language between the Protocols and the related sections of the Operating Guides.</w:t>
      </w:r>
      <w:r w:rsidRPr="00224DC2">
        <w:rPr>
          <w:rStyle w:val="FootnoteReference"/>
          <w:rFonts w:ascii="Times New Roman" w:hAnsi="Times New Roman" w:cs="Times New Roman"/>
          <w:sz w:val="24"/>
          <w:szCs w:val="24"/>
        </w:rPr>
        <w:footnoteReference w:id="1"/>
      </w:r>
      <w:r w:rsidRPr="00224DC2">
        <w:rPr>
          <w:rFonts w:ascii="Times New Roman" w:hAnsi="Times New Roman" w:cs="Times New Roman"/>
          <w:sz w:val="24"/>
          <w:szCs w:val="24"/>
        </w:rPr>
        <w:t xml:space="preserve">  ERCOT must post the Alignment NOGRR and distributed to Reliability and Operations Subcommittee (ROS) within five Business Days of ERCOT Board approval of the related NPRR.</w:t>
      </w:r>
      <w:r w:rsidRPr="00224DC2">
        <w:rPr>
          <w:rStyle w:val="FootnoteReference"/>
          <w:rFonts w:ascii="Times New Roman" w:hAnsi="Times New Roman" w:cs="Times New Roman"/>
          <w:sz w:val="24"/>
          <w:szCs w:val="24"/>
        </w:rPr>
        <w:footnoteReference w:id="2"/>
      </w:r>
      <w:r w:rsidRPr="00224DC2">
        <w:rPr>
          <w:rFonts w:ascii="Times New Roman" w:hAnsi="Times New Roman" w:cs="Times New Roman"/>
          <w:sz w:val="24"/>
          <w:szCs w:val="24"/>
        </w:rPr>
        <w:t xml:space="preserve">  NPRR</w:t>
      </w:r>
      <w:r w:rsidR="006760C8" w:rsidRPr="00224DC2">
        <w:rPr>
          <w:rFonts w:ascii="Times New Roman" w:hAnsi="Times New Roman" w:cs="Times New Roman"/>
          <w:sz w:val="24"/>
          <w:szCs w:val="24"/>
        </w:rPr>
        <w:t>1094, N</w:t>
      </w:r>
      <w:r w:rsidR="00E05BD7" w:rsidRPr="00224DC2">
        <w:rPr>
          <w:rFonts w:ascii="Times New Roman" w:hAnsi="Times New Roman" w:cs="Times New Roman"/>
          <w:sz w:val="24"/>
          <w:szCs w:val="24"/>
        </w:rPr>
        <w:t>PRR1105, and NPRR1106</w:t>
      </w:r>
      <w:r w:rsidRPr="00224DC2">
        <w:rPr>
          <w:rFonts w:ascii="Times New Roman" w:hAnsi="Times New Roman" w:cs="Times New Roman"/>
          <w:sz w:val="24"/>
          <w:szCs w:val="24"/>
        </w:rPr>
        <w:t xml:space="preserve"> w</w:t>
      </w:r>
      <w:r w:rsidR="00E05BD7" w:rsidRPr="00224DC2">
        <w:rPr>
          <w:rFonts w:ascii="Times New Roman" w:hAnsi="Times New Roman" w:cs="Times New Roman"/>
          <w:sz w:val="24"/>
          <w:szCs w:val="24"/>
        </w:rPr>
        <w:t>ere</w:t>
      </w:r>
      <w:r w:rsidRPr="00224DC2">
        <w:rPr>
          <w:rFonts w:ascii="Times New Roman" w:hAnsi="Times New Roman" w:cs="Times New Roman"/>
          <w:sz w:val="24"/>
          <w:szCs w:val="24"/>
        </w:rPr>
        <w:t xml:space="preserve"> approved by the Board on </w:t>
      </w:r>
      <w:r w:rsidR="00E05BD7" w:rsidRPr="00224DC2">
        <w:rPr>
          <w:rFonts w:ascii="Times New Roman" w:hAnsi="Times New Roman" w:cs="Times New Roman"/>
          <w:sz w:val="24"/>
          <w:szCs w:val="24"/>
        </w:rPr>
        <w:t>December</w:t>
      </w:r>
      <w:r w:rsidRPr="00224DC2">
        <w:rPr>
          <w:rFonts w:ascii="Times New Roman" w:hAnsi="Times New Roman" w:cs="Times New Roman"/>
          <w:sz w:val="24"/>
          <w:szCs w:val="24"/>
        </w:rPr>
        <w:t xml:space="preserve"> 10, 2021 and NOGRR2</w:t>
      </w:r>
      <w:r w:rsidR="00E05BD7" w:rsidRPr="00224DC2">
        <w:rPr>
          <w:rFonts w:ascii="Times New Roman" w:hAnsi="Times New Roman" w:cs="Times New Roman"/>
          <w:sz w:val="24"/>
          <w:szCs w:val="24"/>
        </w:rPr>
        <w:t>38</w:t>
      </w:r>
      <w:r w:rsidRPr="00224DC2">
        <w:rPr>
          <w:rFonts w:ascii="Times New Roman" w:hAnsi="Times New Roman" w:cs="Times New Roman"/>
          <w:sz w:val="24"/>
          <w:szCs w:val="24"/>
        </w:rPr>
        <w:t xml:space="preserve"> was posted the same day.  Therefore, Staff recommends approval of NOGRR2</w:t>
      </w:r>
      <w:r w:rsidR="00E05BD7" w:rsidRPr="00224DC2">
        <w:rPr>
          <w:rFonts w:ascii="Times New Roman" w:hAnsi="Times New Roman" w:cs="Times New Roman"/>
          <w:sz w:val="24"/>
          <w:szCs w:val="24"/>
        </w:rPr>
        <w:t>38</w:t>
      </w:r>
      <w:r w:rsidRPr="00224DC2">
        <w:rPr>
          <w:rFonts w:ascii="Times New Roman" w:hAnsi="Times New Roman" w:cs="Times New Roman"/>
          <w:sz w:val="24"/>
          <w:szCs w:val="24"/>
        </w:rPr>
        <w:t xml:space="preserve"> consistent with the recommendation</w:t>
      </w:r>
      <w:r w:rsidR="00E05BD7" w:rsidRPr="00224DC2">
        <w:rPr>
          <w:rFonts w:ascii="Times New Roman" w:hAnsi="Times New Roman" w:cs="Times New Roman"/>
          <w:sz w:val="24"/>
          <w:szCs w:val="24"/>
        </w:rPr>
        <w:t>s</w:t>
      </w:r>
      <w:r w:rsidRPr="00224DC2">
        <w:rPr>
          <w:rFonts w:ascii="Times New Roman" w:hAnsi="Times New Roman" w:cs="Times New Roman"/>
          <w:sz w:val="24"/>
          <w:szCs w:val="24"/>
        </w:rPr>
        <w:t xml:space="preserve"> for </w:t>
      </w:r>
      <w:r w:rsidR="00E05BD7" w:rsidRPr="00224DC2">
        <w:rPr>
          <w:rFonts w:ascii="Times New Roman" w:hAnsi="Times New Roman" w:cs="Times New Roman"/>
          <w:sz w:val="24"/>
          <w:szCs w:val="24"/>
        </w:rPr>
        <w:t>NPRR1094, NPRR1105, and NPRR11</w:t>
      </w:r>
      <w:r w:rsidR="00224DC2" w:rsidRPr="00224DC2">
        <w:rPr>
          <w:rFonts w:ascii="Times New Roman" w:hAnsi="Times New Roman" w:cs="Times New Roman"/>
          <w:sz w:val="24"/>
          <w:szCs w:val="24"/>
        </w:rPr>
        <w:t>06. T</w:t>
      </w:r>
      <w:r w:rsidRPr="00224DC2">
        <w:rPr>
          <w:rFonts w:ascii="Times New Roman" w:hAnsi="Times New Roman" w:cs="Times New Roman"/>
          <w:sz w:val="24"/>
          <w:szCs w:val="24"/>
        </w:rPr>
        <w:t xml:space="preserve">he NOGRR </w:t>
      </w:r>
      <w:r w:rsidR="00224DC2" w:rsidRPr="00224DC2">
        <w:rPr>
          <w:rFonts w:ascii="Times New Roman" w:hAnsi="Times New Roman" w:cs="Times New Roman"/>
          <w:sz w:val="24"/>
          <w:szCs w:val="24"/>
        </w:rPr>
        <w:t xml:space="preserve">is included </w:t>
      </w:r>
      <w:r w:rsidRPr="00224DC2">
        <w:rPr>
          <w:rFonts w:ascii="Times New Roman" w:hAnsi="Times New Roman" w:cs="Times New Roman"/>
          <w:sz w:val="24"/>
          <w:szCs w:val="24"/>
        </w:rPr>
        <w:t>for your review.</w:t>
      </w:r>
    </w:p>
    <w:p w14:paraId="36CE051B" w14:textId="76F73387" w:rsidR="00B7068D" w:rsidRDefault="00B7068D" w:rsidP="00B7068D">
      <w:pPr>
        <w:pStyle w:val="xxmsonormal"/>
        <w:spacing w:line="360" w:lineRule="auto"/>
        <w:jc w:val="both"/>
        <w:rPr>
          <w:rFonts w:ascii="Times New Roman" w:hAnsi="Times New Roman" w:cs="Times New Roman"/>
          <w:sz w:val="24"/>
          <w:szCs w:val="24"/>
        </w:rPr>
      </w:pPr>
    </w:p>
    <w:p w14:paraId="43716D7F" w14:textId="0D6CC901" w:rsidR="00E81606" w:rsidRPr="00B93C83" w:rsidRDefault="00F013B6" w:rsidP="00B93C83">
      <w:pPr>
        <w:pStyle w:val="preamble"/>
        <w:spacing w:line="360" w:lineRule="auto"/>
        <w:rPr>
          <w:szCs w:val="24"/>
        </w:rPr>
      </w:pPr>
      <w:r w:rsidRPr="0006343D">
        <w:rPr>
          <w:szCs w:val="24"/>
        </w:rPr>
        <w:t xml:space="preserve">Please find attached a </w:t>
      </w:r>
      <w:r w:rsidR="00EA1141" w:rsidRPr="0006343D">
        <w:rPr>
          <w:szCs w:val="24"/>
        </w:rPr>
        <w:t>proposed</w:t>
      </w:r>
      <w:r w:rsidRPr="0006343D">
        <w:rPr>
          <w:szCs w:val="24"/>
        </w:rPr>
        <w:t xml:space="preserve"> order </w:t>
      </w:r>
      <w:r w:rsidR="00950428" w:rsidRPr="0006343D">
        <w:rPr>
          <w:szCs w:val="24"/>
        </w:rPr>
        <w:t>for your consideration consistent with Staff's recommendation in this memo.</w:t>
      </w:r>
    </w:p>
    <w:sectPr w:rsidR="00E81606" w:rsidRPr="00B93C83" w:rsidSect="000A562A">
      <w:headerReference w:type="even" r:id="rId12"/>
      <w:headerReference w:type="default" r:id="rId13"/>
      <w:headerReference w:type="first" r:id="rId14"/>
      <w:type w:val="continuous"/>
      <w:pgSz w:w="12240" w:h="15840"/>
      <w:pgMar w:top="1440" w:right="1440" w:bottom="1440" w:left="144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B2145A" w14:textId="77777777" w:rsidR="0010567D" w:rsidRDefault="0010567D" w:rsidP="00ED6F56">
      <w:r>
        <w:separator/>
      </w:r>
    </w:p>
  </w:endnote>
  <w:endnote w:type="continuationSeparator" w:id="0">
    <w:p w14:paraId="5472C1CD" w14:textId="77777777" w:rsidR="0010567D" w:rsidRDefault="0010567D" w:rsidP="00ED6F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New Roman Bold">
    <w:panose1 w:val="02020803070505020304"/>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9867B2" w14:textId="20768607" w:rsidR="009E708C" w:rsidRPr="009E708C" w:rsidRDefault="009E708C" w:rsidP="009E708C">
    <w:pPr>
      <w:pStyle w:val="Footer"/>
      <w:jc w:val="center"/>
      <w:rPr>
        <w:sz w:val="24"/>
        <w:szCs w:val="24"/>
      </w:rPr>
    </w:pPr>
    <w:r>
      <w:rPr>
        <w:sz w:val="24"/>
        <w:szCs w:val="24"/>
      </w:rPr>
      <w:t>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701031" w14:textId="77777777" w:rsidR="0010567D" w:rsidRDefault="0010567D" w:rsidP="00ED6F56">
      <w:r>
        <w:separator/>
      </w:r>
    </w:p>
  </w:footnote>
  <w:footnote w:type="continuationSeparator" w:id="0">
    <w:p w14:paraId="56ED2083" w14:textId="77777777" w:rsidR="0010567D" w:rsidRDefault="0010567D" w:rsidP="00ED6F56">
      <w:r>
        <w:continuationSeparator/>
      </w:r>
    </w:p>
  </w:footnote>
  <w:footnote w:id="1">
    <w:p w14:paraId="46A34714" w14:textId="2BB09565" w:rsidR="008A7F5A" w:rsidRDefault="008A7F5A" w:rsidP="008A7F5A">
      <w:pPr>
        <w:pStyle w:val="FootnoteText"/>
      </w:pPr>
      <w:r>
        <w:rPr>
          <w:rStyle w:val="FootnoteReference"/>
        </w:rPr>
        <w:footnoteRef/>
      </w:r>
      <w:r>
        <w:t xml:space="preserve"> </w:t>
      </w:r>
      <w:r w:rsidR="006760C8">
        <w:t>ERCOT Nodal Operating Guide, Section 1, Overview (May 1, 2021).</w:t>
      </w:r>
    </w:p>
  </w:footnote>
  <w:footnote w:id="2">
    <w:p w14:paraId="00EAB63E" w14:textId="1D39B3C7" w:rsidR="008A7F5A" w:rsidRDefault="008A7F5A" w:rsidP="008A7F5A">
      <w:pPr>
        <w:pStyle w:val="FootnoteText"/>
      </w:pPr>
      <w:r>
        <w:rPr>
          <w:rStyle w:val="FootnoteReference"/>
        </w:rPr>
        <w:footnoteRef/>
      </w:r>
      <w:r>
        <w:t xml:space="preserve"> </w:t>
      </w:r>
      <w:r w:rsidR="006760C8" w:rsidRPr="00524B02">
        <w:rPr>
          <w:i/>
          <w:iCs/>
        </w:rPr>
        <w:t>Id.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F648FB" w14:textId="77777777" w:rsidR="009B2467" w:rsidRDefault="0010567D">
    <w:pPr>
      <w:pStyle w:val="Header"/>
    </w:pPr>
    <w:r>
      <w:rPr>
        <w:noProof/>
      </w:rPr>
      <w:pict w14:anchorId="1E7D821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6" type="#_x0000_t136" style="position:absolute;margin-left:0;margin-top:0;width:453.15pt;height:181.25pt;rotation:315;z-index:-251655168;mso-position-horizontal:center;mso-position-horizontal-relative:margin;mso-position-vertical:center;mso-position-vertical-relative:margin" o:allowincell="f" fillcolor="#161616 [334]" stroked="f">
          <v:fill opacity=".5"/>
          <v:textpath style="font-family:&quot;Times New Roman&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887DE7" w14:textId="77777777" w:rsidR="00297958" w:rsidRDefault="00297958" w:rsidP="00297958">
    <w:pPr>
      <w:pStyle w:val="Header"/>
      <w:jc w:val="center"/>
      <w:rPr>
        <w:b/>
        <w:i/>
        <w:sz w:val="38"/>
      </w:rPr>
    </w:pPr>
    <w:r>
      <w:rPr>
        <w:b/>
        <w:i/>
        <w:sz w:val="38"/>
      </w:rPr>
      <w:t xml:space="preserve">Public Utility Commission of </w:t>
    </w:r>
    <w:smartTag w:uri="urn:schemas-microsoft-com:office:smarttags" w:element="State">
      <w:smartTag w:uri="urn:schemas-microsoft-com:office:smarttags" w:element="place">
        <w:r>
          <w:rPr>
            <w:b/>
            <w:i/>
            <w:sz w:val="38"/>
          </w:rPr>
          <w:t>Texas</w:t>
        </w:r>
      </w:smartTag>
    </w:smartTag>
  </w:p>
  <w:p w14:paraId="2652BE38" w14:textId="31495E02" w:rsidR="00297958" w:rsidRDefault="00297958" w:rsidP="00FB6EAD">
    <w:pPr>
      <w:pStyle w:val="Header"/>
      <w:tabs>
        <w:tab w:val="clear" w:pos="4320"/>
        <w:tab w:val="clear" w:pos="8640"/>
        <w:tab w:val="left" w:pos="1620"/>
        <w:tab w:val="left" w:pos="7200"/>
        <w:tab w:val="right" w:pos="7740"/>
      </w:tabs>
      <w:spacing w:before="120" w:after="120"/>
      <w:ind w:right="1620"/>
      <w:rPr>
        <w:b/>
        <w:sz w:val="12"/>
      </w:rPr>
    </w:pPr>
    <w:r>
      <w:rPr>
        <w:b/>
        <w:sz w:val="12"/>
      </w:rPr>
      <w:tab/>
    </w:r>
    <w:r>
      <w:rPr>
        <w:b/>
        <w:sz w:val="12"/>
        <w:u w:val="single"/>
      </w:rPr>
      <w:tab/>
    </w:r>
    <w:r w:rsidR="00FB6EAD">
      <w:rPr>
        <w:b/>
        <w:sz w:val="12"/>
        <w:u w:val="single"/>
      </w:rPr>
      <w:tab/>
    </w:r>
  </w:p>
  <w:p w14:paraId="4F581FC4" w14:textId="77777777" w:rsidR="008E3872" w:rsidRDefault="00F134C7" w:rsidP="00297958">
    <w:pPr>
      <w:pStyle w:val="Header"/>
      <w:tabs>
        <w:tab w:val="left" w:pos="1980"/>
        <w:tab w:val="left" w:pos="6750"/>
      </w:tabs>
      <w:spacing w:after="240"/>
      <w:jc w:val="center"/>
      <w:rPr>
        <w:b/>
        <w:sz w:val="38"/>
      </w:rPr>
    </w:pPr>
    <w:r>
      <w:rPr>
        <w:b/>
        <w:sz w:val="38"/>
      </w:rPr>
      <w:t xml:space="preserve">Commissioner </w:t>
    </w:r>
    <w:r w:rsidR="00297958">
      <w:rPr>
        <w:b/>
        <w:sz w:val="38"/>
      </w:rPr>
      <w:t>Memorandum</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4F1235" w14:textId="77777777" w:rsidR="00C6090A" w:rsidRDefault="00C6090A" w:rsidP="00C6090A">
    <w:pPr>
      <w:pStyle w:val="Header"/>
      <w:jc w:val="center"/>
      <w:rPr>
        <w:b/>
        <w:i/>
        <w:sz w:val="38"/>
      </w:rPr>
    </w:pPr>
    <w:r>
      <w:rPr>
        <w:b/>
        <w:i/>
        <w:sz w:val="38"/>
      </w:rPr>
      <w:t xml:space="preserve">Public Utility Commission of </w:t>
    </w:r>
    <w:smartTag w:uri="urn:schemas-microsoft-com:office:smarttags" w:element="State">
      <w:smartTag w:uri="urn:schemas-microsoft-com:office:smarttags" w:element="place">
        <w:r>
          <w:rPr>
            <w:b/>
            <w:i/>
            <w:sz w:val="38"/>
          </w:rPr>
          <w:t>Texas</w:t>
        </w:r>
      </w:smartTag>
    </w:smartTag>
  </w:p>
  <w:p w14:paraId="2C7A2C09" w14:textId="7E008F5C" w:rsidR="00C6090A" w:rsidRDefault="00C6090A" w:rsidP="009E708C">
    <w:pPr>
      <w:pStyle w:val="Header"/>
      <w:tabs>
        <w:tab w:val="clear" w:pos="4320"/>
        <w:tab w:val="clear" w:pos="8640"/>
        <w:tab w:val="left" w:pos="1620"/>
        <w:tab w:val="left" w:pos="6840"/>
        <w:tab w:val="right" w:pos="7740"/>
      </w:tabs>
      <w:spacing w:before="120" w:after="120"/>
      <w:rPr>
        <w:b/>
        <w:sz w:val="12"/>
      </w:rPr>
    </w:pPr>
    <w:r>
      <w:rPr>
        <w:b/>
        <w:sz w:val="12"/>
      </w:rPr>
      <w:tab/>
    </w:r>
    <w:r>
      <w:rPr>
        <w:b/>
        <w:sz w:val="12"/>
        <w:u w:val="single"/>
      </w:rPr>
      <w:tab/>
    </w:r>
    <w:r w:rsidR="009E708C">
      <w:rPr>
        <w:b/>
        <w:sz w:val="12"/>
        <w:u w:val="single"/>
      </w:rPr>
      <w:tab/>
    </w:r>
  </w:p>
  <w:p w14:paraId="65F81242" w14:textId="0E31A3C1" w:rsidR="00C6090A" w:rsidRDefault="00C6090A" w:rsidP="00C6090A">
    <w:pPr>
      <w:pStyle w:val="Header"/>
      <w:tabs>
        <w:tab w:val="left" w:pos="1980"/>
        <w:tab w:val="left" w:pos="6750"/>
      </w:tabs>
      <w:spacing w:after="240"/>
      <w:jc w:val="center"/>
      <w:rPr>
        <w:b/>
        <w:sz w:val="38"/>
      </w:rPr>
    </w:pPr>
    <w:r>
      <w:rPr>
        <w:b/>
        <w:sz w:val="38"/>
      </w:rPr>
      <w:t>Memorandum</w:t>
    </w:r>
  </w:p>
  <w:p w14:paraId="78E168A2" w14:textId="77777777" w:rsidR="00C6090A" w:rsidRDefault="00C6090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236914" w14:textId="77777777" w:rsidR="00AB4D90" w:rsidRDefault="0010567D">
    <w:pPr>
      <w:pStyle w:val="Header"/>
    </w:pPr>
    <w:r>
      <w:rPr>
        <w:noProof/>
      </w:rPr>
      <w:pict w14:anchorId="4FF37E85">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9" type="#_x0000_t136" style="position:absolute;margin-left:0;margin-top:0;width:453.15pt;height:181.25pt;rotation:315;z-index:-251649024;mso-position-horizontal:center;mso-position-horizontal-relative:margin;mso-position-vertical:center;mso-position-vertical-relative:margin" o:allowincell="f" fillcolor="#161616 [334]" stroked="f">
          <v:fill opacity=".5"/>
          <v:textpath style="font-family:&quot;Times New Roman&quot;;font-size:1pt" string="DRAFT"/>
          <w10:wrap anchorx="margin" anchory="margin"/>
        </v:shape>
      </w:pic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F862D1" w14:textId="77777777" w:rsidR="00B60758" w:rsidRDefault="00D42EE5" w:rsidP="00D42EE5">
    <w:pPr>
      <w:pStyle w:val="Header"/>
      <w:tabs>
        <w:tab w:val="clear" w:pos="4320"/>
        <w:tab w:val="clear" w:pos="8640"/>
        <w:tab w:val="left" w:pos="2175"/>
      </w:tabs>
      <w:rPr>
        <w:rFonts w:ascii="Arial" w:hAnsi="Arial"/>
        <w:b/>
        <w:sz w:val="18"/>
      </w:rPr>
    </w:pPr>
    <w:bookmarkStart w:id="17" w:name="_Hlk34640056"/>
    <w:bookmarkStart w:id="18" w:name="_Hlk34640057"/>
    <w:bookmarkStart w:id="19" w:name="_Hlk34640269"/>
    <w:bookmarkStart w:id="20" w:name="_Hlk34640270"/>
    <w:r>
      <w:rPr>
        <w:rFonts w:ascii="Arial" w:hAnsi="Arial"/>
        <w:b/>
        <w:sz w:val="18"/>
      </w:rPr>
      <w:tab/>
    </w:r>
  </w:p>
  <w:bookmarkEnd w:id="17"/>
  <w:bookmarkEnd w:id="18"/>
  <w:bookmarkEnd w:id="19"/>
  <w:bookmarkEnd w:id="20"/>
  <w:p w14:paraId="64F3D067" w14:textId="77777777" w:rsidR="00B60758" w:rsidRDefault="00B60758">
    <w:pPr>
      <w:pStyle w:val="Header"/>
      <w:tabs>
        <w:tab w:val="clear" w:pos="4320"/>
        <w:tab w:val="clear" w:pos="8640"/>
        <w:tab w:val="center" w:pos="7920"/>
      </w:tabs>
      <w:rPr>
        <w:rFonts w:ascii="Arial" w:hAnsi="Arial"/>
        <w:b/>
        <w:sz w:val="18"/>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87443E" w14:textId="77777777" w:rsidR="00AB4D90" w:rsidRDefault="0010567D">
    <w:pPr>
      <w:pStyle w:val="Header"/>
    </w:pPr>
    <w:r>
      <w:rPr>
        <w:noProof/>
      </w:rPr>
      <w:pict w14:anchorId="4B49A4E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8" type="#_x0000_t136" style="position:absolute;margin-left:0;margin-top:0;width:453.15pt;height:181.25pt;rotation:315;z-index:-251651072;mso-position-horizontal:center;mso-position-horizontal-relative:margin;mso-position-vertical:center;mso-position-vertical-relative:margin" o:allowincell="f" fillcolor="#161616 [334]" stroked="f">
          <v:fill opacity=".5"/>
          <v:textpath style="font-family:&quot;Times New Roman&quot;;font-size:1pt" string="DRAF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4B6E3F50"/>
    <w:lvl w:ilvl="0">
      <w:start w:val="1"/>
      <w:numFmt w:val="bullet"/>
      <w:lvlText w:val=""/>
      <w:lvlJc w:val="left"/>
      <w:pPr>
        <w:tabs>
          <w:tab w:val="num" w:pos="720"/>
        </w:tabs>
        <w:ind w:left="720" w:hanging="360"/>
      </w:pPr>
      <w:rPr>
        <w:rFonts w:ascii="Symbol" w:hAnsi="Symbol" w:hint="default"/>
      </w:rPr>
    </w:lvl>
  </w:abstractNum>
  <w:abstractNum w:abstractNumId="1" w15:restartNumberingAfterBreak="0">
    <w:nsid w:val="05344E10"/>
    <w:multiLevelType w:val="singleLevel"/>
    <w:tmpl w:val="B8402814"/>
    <w:lvl w:ilvl="0">
      <w:start w:val="1"/>
      <w:numFmt w:val="bullet"/>
      <w:pStyle w:val="Bullet1"/>
      <w:lvlText w:val=""/>
      <w:lvlJc w:val="left"/>
      <w:pPr>
        <w:tabs>
          <w:tab w:val="num" w:pos="1080"/>
        </w:tabs>
        <w:ind w:left="1080" w:hanging="360"/>
      </w:pPr>
      <w:rPr>
        <w:rFonts w:ascii="Symbol" w:hAnsi="Symbol" w:hint="default"/>
      </w:rPr>
    </w:lvl>
  </w:abstractNum>
  <w:abstractNum w:abstractNumId="2" w15:restartNumberingAfterBreak="0">
    <w:nsid w:val="0B7D6BBB"/>
    <w:multiLevelType w:val="hybridMultilevel"/>
    <w:tmpl w:val="C66A5E44"/>
    <w:lvl w:ilvl="0" w:tplc="211C770E">
      <w:start w:val="1"/>
      <w:numFmt w:val="decimal"/>
      <w:lvlText w:val="%1."/>
      <w:lvlJc w:val="left"/>
      <w:pPr>
        <w:ind w:left="1440" w:hanging="720"/>
      </w:pPr>
      <w:rPr>
        <w:rFonts w:hint="default"/>
        <w:b w:val="0"/>
        <w:i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103625C1"/>
    <w:multiLevelType w:val="hybridMultilevel"/>
    <w:tmpl w:val="1CA0AA58"/>
    <w:lvl w:ilvl="0" w:tplc="9134139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5B670F"/>
    <w:multiLevelType w:val="hybridMultilevel"/>
    <w:tmpl w:val="C52A763A"/>
    <w:lvl w:ilvl="0" w:tplc="5008BCFA">
      <w:start w:val="10"/>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169C1CB0"/>
    <w:multiLevelType w:val="hybridMultilevel"/>
    <w:tmpl w:val="2E80318C"/>
    <w:lvl w:ilvl="0" w:tplc="AFE0A67A">
      <w:start w:val="35"/>
      <w:numFmt w:val="decimal"/>
      <w:pStyle w:val="FOFNumbered"/>
      <w:lvlText w:val="%1."/>
      <w:lvlJc w:val="left"/>
      <w:pPr>
        <w:tabs>
          <w:tab w:val="num" w:pos="1440"/>
        </w:tabs>
        <w:ind w:left="1440" w:hanging="720"/>
      </w:pPr>
      <w:rPr>
        <w:rFonts w:ascii="Times New Roman" w:hAnsi="Times New Roman" w:cs="Times New Roman" w:hint="default"/>
        <w:b w:val="0"/>
        <w:bCs w:val="0"/>
        <w:i w:val="0"/>
        <w:iCs w:val="0"/>
        <w:caps w:val="0"/>
        <w:smallCaps w:val="0"/>
        <w:strike w:val="0"/>
        <w:dstrike w:val="0"/>
        <w:outline w:val="0"/>
        <w:shadow w:val="0"/>
        <w:emboss w:val="0"/>
        <w:imprint w:val="0"/>
        <w:noProof w:val="0"/>
        <w:snapToGrid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34AE347E"/>
    <w:multiLevelType w:val="multilevel"/>
    <w:tmpl w:val="ADFAF022"/>
    <w:lvl w:ilvl="0">
      <w:start w:val="1"/>
      <w:numFmt w:val="upperRoman"/>
      <w:lvlText w:val="%1."/>
      <w:lvlJc w:val="center"/>
      <w:pPr>
        <w:tabs>
          <w:tab w:val="num" w:pos="360"/>
        </w:tabs>
        <w:ind w:left="0" w:firstLine="0"/>
      </w:pPr>
      <w:rPr>
        <w:rFonts w:ascii="Times New Roman" w:hAnsi="Times New Roman" w:hint="default"/>
        <w:b/>
        <w:i w:val="0"/>
        <w:sz w:val="24"/>
      </w:rPr>
    </w:lvl>
    <w:lvl w:ilvl="1">
      <w:start w:val="1"/>
      <w:numFmt w:val="upperLetter"/>
      <w:pStyle w:val="Heading2"/>
      <w:lvlText w:val="%2."/>
      <w:lvlJc w:val="center"/>
      <w:pPr>
        <w:tabs>
          <w:tab w:val="num" w:pos="360"/>
        </w:tabs>
        <w:ind w:left="0" w:firstLine="0"/>
      </w:pPr>
      <w:rPr>
        <w:rFonts w:hint="default"/>
      </w:rPr>
    </w:lvl>
    <w:lvl w:ilvl="2">
      <w:start w:val="1"/>
      <w:numFmt w:val="decimal"/>
      <w:pStyle w:val="Heading3"/>
      <w:lvlText w:val="%3."/>
      <w:lvlJc w:val="left"/>
      <w:pPr>
        <w:tabs>
          <w:tab w:val="num" w:pos="360"/>
        </w:tabs>
        <w:ind w:left="360" w:hanging="360"/>
      </w:pPr>
      <w:rPr>
        <w:rFonts w:hint="default"/>
      </w:rPr>
    </w:lvl>
    <w:lvl w:ilvl="3">
      <w:start w:val="1"/>
      <w:numFmt w:val="lowerLetter"/>
      <w:pStyle w:val="Heading4"/>
      <w:lvlText w:val="%4."/>
      <w:lvlJc w:val="left"/>
      <w:pPr>
        <w:tabs>
          <w:tab w:val="num" w:pos="360"/>
        </w:tabs>
        <w:ind w:left="360" w:hanging="360"/>
      </w:pPr>
      <w:rPr>
        <w:rFonts w:hint="default"/>
      </w:rPr>
    </w:lvl>
    <w:lvl w:ilvl="4">
      <w:start w:val="1"/>
      <w:numFmt w:val="lowerRoman"/>
      <w:pStyle w:val="Heading5"/>
      <w:lvlText w:val="(%5)"/>
      <w:lvlJc w:val="left"/>
      <w:pPr>
        <w:tabs>
          <w:tab w:val="num" w:pos="720"/>
        </w:tabs>
        <w:ind w:left="720" w:hanging="360"/>
      </w:pPr>
      <w:rPr>
        <w:rFonts w:hint="default"/>
      </w:rPr>
    </w:lvl>
    <w:lvl w:ilvl="5">
      <w:start w:val="1"/>
      <w:numFmt w:val="decimal"/>
      <w:pStyle w:val="Heading6"/>
      <w:lvlText w:val="(%6)"/>
      <w:lvlJc w:val="left"/>
      <w:pPr>
        <w:tabs>
          <w:tab w:val="num" w:pos="720"/>
        </w:tabs>
        <w:ind w:left="720" w:hanging="360"/>
      </w:pPr>
      <w:rPr>
        <w:rFonts w:hint="default"/>
      </w:rPr>
    </w:lvl>
    <w:lvl w:ilvl="6">
      <w:start w:val="1"/>
      <w:numFmt w:val="none"/>
      <w:pStyle w:val="Heading7"/>
      <w:suff w:val="nothing"/>
      <w:lvlText w:val="%7"/>
      <w:lvlJc w:val="left"/>
      <w:pPr>
        <w:ind w:left="0" w:firstLine="0"/>
      </w:pPr>
      <w:rPr>
        <w:rFonts w:hint="default"/>
      </w:rPr>
    </w:lvl>
    <w:lvl w:ilvl="7">
      <w:start w:val="1"/>
      <w:numFmt w:val="decimal"/>
      <w:lvlRestart w:val="3"/>
      <w:pStyle w:val="Heading8"/>
      <w:lvlText w:val="%8."/>
      <w:lvlJc w:val="left"/>
      <w:pPr>
        <w:tabs>
          <w:tab w:val="num" w:pos="360"/>
        </w:tabs>
        <w:ind w:left="0" w:firstLine="0"/>
      </w:pPr>
      <w:rPr>
        <w:rFonts w:hint="default"/>
      </w:rPr>
    </w:lvl>
    <w:lvl w:ilvl="8">
      <w:start w:val="1"/>
      <w:numFmt w:val="lowerLetter"/>
      <w:pStyle w:val="Heading9"/>
      <w:lvlText w:val="%9."/>
      <w:lvlJc w:val="left"/>
      <w:pPr>
        <w:tabs>
          <w:tab w:val="num" w:pos="360"/>
        </w:tabs>
        <w:ind w:left="0" w:firstLine="0"/>
      </w:pPr>
      <w:rPr>
        <w:rFonts w:hint="default"/>
      </w:rPr>
    </w:lvl>
  </w:abstractNum>
  <w:abstractNum w:abstractNumId="7" w15:restartNumberingAfterBreak="0">
    <w:nsid w:val="3E9C2A43"/>
    <w:multiLevelType w:val="hybridMultilevel"/>
    <w:tmpl w:val="37D66D24"/>
    <w:lvl w:ilvl="0" w:tplc="9B08E6D0">
      <w:start w:val="1"/>
      <w:numFmt w:val="decimal"/>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56BC317D"/>
    <w:multiLevelType w:val="hybridMultilevel"/>
    <w:tmpl w:val="983A5B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84A63A1"/>
    <w:multiLevelType w:val="hybridMultilevel"/>
    <w:tmpl w:val="D2C8E7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CFA3488"/>
    <w:multiLevelType w:val="hybridMultilevel"/>
    <w:tmpl w:val="7A323EB2"/>
    <w:lvl w:ilvl="0" w:tplc="598A8DC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6B3B105E"/>
    <w:multiLevelType w:val="hybridMultilevel"/>
    <w:tmpl w:val="0DF82516"/>
    <w:lvl w:ilvl="0" w:tplc="D68C57CE">
      <w:start w:val="5"/>
      <w:numFmt w:val="decimal"/>
      <w:lvlText w:val="%1."/>
      <w:lvlJc w:val="left"/>
      <w:pPr>
        <w:ind w:left="144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E050099"/>
    <w:multiLevelType w:val="hybridMultilevel"/>
    <w:tmpl w:val="3182BD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EC12EB9"/>
    <w:multiLevelType w:val="hybridMultilevel"/>
    <w:tmpl w:val="693CB330"/>
    <w:lvl w:ilvl="0" w:tplc="5008BCFA">
      <w:start w:val="2"/>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6F502CE1"/>
    <w:multiLevelType w:val="singleLevel"/>
    <w:tmpl w:val="24648554"/>
    <w:lvl w:ilvl="0">
      <w:start w:val="1"/>
      <w:numFmt w:val="decimal"/>
      <w:pStyle w:val="OrderingParagraph"/>
      <w:lvlText w:val="%1."/>
      <w:lvlJc w:val="left"/>
      <w:pPr>
        <w:tabs>
          <w:tab w:val="num" w:pos="720"/>
        </w:tabs>
        <w:ind w:left="720" w:hanging="720"/>
      </w:pPr>
    </w:lvl>
  </w:abstractNum>
  <w:abstractNum w:abstractNumId="15" w15:restartNumberingAfterBreak="0">
    <w:nsid w:val="6F5B3930"/>
    <w:multiLevelType w:val="hybridMultilevel"/>
    <w:tmpl w:val="A4DAC110"/>
    <w:lvl w:ilvl="0" w:tplc="BF5A8F0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7A8F11CE"/>
    <w:multiLevelType w:val="hybridMultilevel"/>
    <w:tmpl w:val="D93214B0"/>
    <w:lvl w:ilvl="0" w:tplc="A06E3AC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
  </w:num>
  <w:num w:numId="2">
    <w:abstractNumId w:val="5"/>
  </w:num>
  <w:num w:numId="3">
    <w:abstractNumId w:val="5"/>
    <w:lvlOverride w:ilvl="0">
      <w:startOverride w:val="60"/>
    </w:lvlOverride>
  </w:num>
  <w:num w:numId="4">
    <w:abstractNumId w:val="6"/>
  </w:num>
  <w:num w:numId="5">
    <w:abstractNumId w:val="5"/>
  </w:num>
  <w:num w:numId="6">
    <w:abstractNumId w:val="5"/>
    <w:lvlOverride w:ilvl="0">
      <w:startOverride w:val="11"/>
    </w:lvlOverride>
  </w:num>
  <w:num w:numId="7">
    <w:abstractNumId w:val="5"/>
  </w:num>
  <w:num w:numId="8">
    <w:abstractNumId w:val="5"/>
  </w:num>
  <w:num w:numId="9">
    <w:abstractNumId w:val="5"/>
    <w:lvlOverride w:ilvl="0">
      <w:startOverride w:val="2"/>
    </w:lvlOverride>
  </w:num>
  <w:num w:numId="10">
    <w:abstractNumId w:val="13"/>
  </w:num>
  <w:num w:numId="11">
    <w:abstractNumId w:val="4"/>
  </w:num>
  <w:num w:numId="12">
    <w:abstractNumId w:val="5"/>
  </w:num>
  <w:num w:numId="13">
    <w:abstractNumId w:val="5"/>
  </w:num>
  <w:num w:numId="14">
    <w:abstractNumId w:val="5"/>
  </w:num>
  <w:num w:numId="15">
    <w:abstractNumId w:val="3"/>
  </w:num>
  <w:num w:numId="16">
    <w:abstractNumId w:val="0"/>
  </w:num>
  <w:num w:numId="17">
    <w:abstractNumId w:val="7"/>
  </w:num>
  <w:num w:numId="18">
    <w:abstractNumId w:val="14"/>
  </w:num>
  <w:num w:numId="19">
    <w:abstractNumId w:val="2"/>
  </w:num>
  <w:num w:numId="20">
    <w:abstractNumId w:val="11"/>
  </w:num>
  <w:num w:numId="21">
    <w:abstractNumId w:val="10"/>
  </w:num>
  <w:num w:numId="22">
    <w:abstractNumId w:val="15"/>
  </w:num>
  <w:num w:numId="23">
    <w:abstractNumId w:val="16"/>
  </w:num>
  <w:num w:numId="24">
    <w:abstractNumId w:val="8"/>
  </w:num>
  <w:num w:numId="25">
    <w:abstractNumId w:val="9"/>
  </w:num>
  <w:num w:numId="26">
    <w:abstractNumId w:val="1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trackRevisions/>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3A92"/>
    <w:rsid w:val="00001368"/>
    <w:rsid w:val="0000137F"/>
    <w:rsid w:val="0000214A"/>
    <w:rsid w:val="00002828"/>
    <w:rsid w:val="00002DDC"/>
    <w:rsid w:val="000032DE"/>
    <w:rsid w:val="000036E7"/>
    <w:rsid w:val="00004997"/>
    <w:rsid w:val="00004A1E"/>
    <w:rsid w:val="00005C0E"/>
    <w:rsid w:val="00005F20"/>
    <w:rsid w:val="0000637C"/>
    <w:rsid w:val="000074A7"/>
    <w:rsid w:val="00007D94"/>
    <w:rsid w:val="00010DD6"/>
    <w:rsid w:val="00010EBF"/>
    <w:rsid w:val="000124FF"/>
    <w:rsid w:val="0001296B"/>
    <w:rsid w:val="00013383"/>
    <w:rsid w:val="00015F01"/>
    <w:rsid w:val="000201EC"/>
    <w:rsid w:val="00020D34"/>
    <w:rsid w:val="00022211"/>
    <w:rsid w:val="00022317"/>
    <w:rsid w:val="00023467"/>
    <w:rsid w:val="00023F95"/>
    <w:rsid w:val="000248AB"/>
    <w:rsid w:val="000253A1"/>
    <w:rsid w:val="000257A5"/>
    <w:rsid w:val="000257C1"/>
    <w:rsid w:val="00025DD3"/>
    <w:rsid w:val="0003104F"/>
    <w:rsid w:val="000318BA"/>
    <w:rsid w:val="00031D83"/>
    <w:rsid w:val="000327BF"/>
    <w:rsid w:val="0003351B"/>
    <w:rsid w:val="00033581"/>
    <w:rsid w:val="00033EA6"/>
    <w:rsid w:val="00035941"/>
    <w:rsid w:val="00035E71"/>
    <w:rsid w:val="00040268"/>
    <w:rsid w:val="00040D1B"/>
    <w:rsid w:val="00041B16"/>
    <w:rsid w:val="00042F1F"/>
    <w:rsid w:val="00044D80"/>
    <w:rsid w:val="00044F0D"/>
    <w:rsid w:val="00046387"/>
    <w:rsid w:val="0004650F"/>
    <w:rsid w:val="000472B5"/>
    <w:rsid w:val="000513AF"/>
    <w:rsid w:val="0005399B"/>
    <w:rsid w:val="000547C7"/>
    <w:rsid w:val="00054C8A"/>
    <w:rsid w:val="00054EFF"/>
    <w:rsid w:val="0005531E"/>
    <w:rsid w:val="000576AF"/>
    <w:rsid w:val="00060FFD"/>
    <w:rsid w:val="000617DA"/>
    <w:rsid w:val="00061C60"/>
    <w:rsid w:val="0006343D"/>
    <w:rsid w:val="00063739"/>
    <w:rsid w:val="00065903"/>
    <w:rsid w:val="00066D09"/>
    <w:rsid w:val="00067329"/>
    <w:rsid w:val="00072977"/>
    <w:rsid w:val="000739D9"/>
    <w:rsid w:val="000741DC"/>
    <w:rsid w:val="00074B35"/>
    <w:rsid w:val="00075314"/>
    <w:rsid w:val="00075C18"/>
    <w:rsid w:val="00076E2C"/>
    <w:rsid w:val="0007747E"/>
    <w:rsid w:val="0008044C"/>
    <w:rsid w:val="0008097E"/>
    <w:rsid w:val="000816FB"/>
    <w:rsid w:val="000836BC"/>
    <w:rsid w:val="00084004"/>
    <w:rsid w:val="00084EF5"/>
    <w:rsid w:val="000868CF"/>
    <w:rsid w:val="00086C0E"/>
    <w:rsid w:val="00086DFE"/>
    <w:rsid w:val="00090968"/>
    <w:rsid w:val="0009113D"/>
    <w:rsid w:val="00091363"/>
    <w:rsid w:val="00091403"/>
    <w:rsid w:val="0009219D"/>
    <w:rsid w:val="00092AC4"/>
    <w:rsid w:val="00092DF8"/>
    <w:rsid w:val="000935CE"/>
    <w:rsid w:val="00093BB5"/>
    <w:rsid w:val="00094573"/>
    <w:rsid w:val="00095A33"/>
    <w:rsid w:val="00097867"/>
    <w:rsid w:val="000A02E7"/>
    <w:rsid w:val="000A2A38"/>
    <w:rsid w:val="000A4308"/>
    <w:rsid w:val="000A4789"/>
    <w:rsid w:val="000A47AD"/>
    <w:rsid w:val="000A562A"/>
    <w:rsid w:val="000A5AF1"/>
    <w:rsid w:val="000A67EC"/>
    <w:rsid w:val="000A6E4C"/>
    <w:rsid w:val="000A748D"/>
    <w:rsid w:val="000A7FD3"/>
    <w:rsid w:val="000B08E1"/>
    <w:rsid w:val="000B0FE7"/>
    <w:rsid w:val="000B1FD0"/>
    <w:rsid w:val="000B281B"/>
    <w:rsid w:val="000B3759"/>
    <w:rsid w:val="000B3892"/>
    <w:rsid w:val="000B4260"/>
    <w:rsid w:val="000B79B8"/>
    <w:rsid w:val="000B7F2D"/>
    <w:rsid w:val="000C0F89"/>
    <w:rsid w:val="000C34A9"/>
    <w:rsid w:val="000C35D7"/>
    <w:rsid w:val="000C578F"/>
    <w:rsid w:val="000C7F1C"/>
    <w:rsid w:val="000D1670"/>
    <w:rsid w:val="000D2604"/>
    <w:rsid w:val="000D4246"/>
    <w:rsid w:val="000D4FF8"/>
    <w:rsid w:val="000D5211"/>
    <w:rsid w:val="000D5523"/>
    <w:rsid w:val="000D5851"/>
    <w:rsid w:val="000D6968"/>
    <w:rsid w:val="000D7E32"/>
    <w:rsid w:val="000D7FED"/>
    <w:rsid w:val="000E0183"/>
    <w:rsid w:val="000E0216"/>
    <w:rsid w:val="000E09DA"/>
    <w:rsid w:val="000E0E3A"/>
    <w:rsid w:val="000E1013"/>
    <w:rsid w:val="000E173D"/>
    <w:rsid w:val="000E2EAF"/>
    <w:rsid w:val="000E4151"/>
    <w:rsid w:val="000E48A2"/>
    <w:rsid w:val="000E7617"/>
    <w:rsid w:val="000F077A"/>
    <w:rsid w:val="000F127F"/>
    <w:rsid w:val="000F2152"/>
    <w:rsid w:val="000F22E2"/>
    <w:rsid w:val="000F29BD"/>
    <w:rsid w:val="000F301E"/>
    <w:rsid w:val="000F563D"/>
    <w:rsid w:val="000F7F69"/>
    <w:rsid w:val="001001C6"/>
    <w:rsid w:val="001007D3"/>
    <w:rsid w:val="001008C9"/>
    <w:rsid w:val="00100B85"/>
    <w:rsid w:val="00101237"/>
    <w:rsid w:val="00101C81"/>
    <w:rsid w:val="00101F52"/>
    <w:rsid w:val="00102062"/>
    <w:rsid w:val="0010245D"/>
    <w:rsid w:val="00104E8E"/>
    <w:rsid w:val="001053A9"/>
    <w:rsid w:val="0010567D"/>
    <w:rsid w:val="00105719"/>
    <w:rsid w:val="00105F6E"/>
    <w:rsid w:val="00111844"/>
    <w:rsid w:val="00111F15"/>
    <w:rsid w:val="001156E5"/>
    <w:rsid w:val="00115E12"/>
    <w:rsid w:val="00117550"/>
    <w:rsid w:val="001175DA"/>
    <w:rsid w:val="0011790A"/>
    <w:rsid w:val="0012045F"/>
    <w:rsid w:val="001209CB"/>
    <w:rsid w:val="00120BB8"/>
    <w:rsid w:val="0012119C"/>
    <w:rsid w:val="0012148A"/>
    <w:rsid w:val="00121E09"/>
    <w:rsid w:val="00122024"/>
    <w:rsid w:val="001227EF"/>
    <w:rsid w:val="00123010"/>
    <w:rsid w:val="00123126"/>
    <w:rsid w:val="0012314E"/>
    <w:rsid w:val="0012472F"/>
    <w:rsid w:val="00124E46"/>
    <w:rsid w:val="001257F7"/>
    <w:rsid w:val="00126C0F"/>
    <w:rsid w:val="001278CE"/>
    <w:rsid w:val="00127F52"/>
    <w:rsid w:val="00130042"/>
    <w:rsid w:val="001304ED"/>
    <w:rsid w:val="00133027"/>
    <w:rsid w:val="00133788"/>
    <w:rsid w:val="001426D3"/>
    <w:rsid w:val="0014585B"/>
    <w:rsid w:val="00146959"/>
    <w:rsid w:val="00147D8F"/>
    <w:rsid w:val="00150118"/>
    <w:rsid w:val="00150FA6"/>
    <w:rsid w:val="00151513"/>
    <w:rsid w:val="00151C2E"/>
    <w:rsid w:val="0015265E"/>
    <w:rsid w:val="00152772"/>
    <w:rsid w:val="00153AA5"/>
    <w:rsid w:val="00153C3E"/>
    <w:rsid w:val="00153CBC"/>
    <w:rsid w:val="00156E39"/>
    <w:rsid w:val="0015714B"/>
    <w:rsid w:val="00157C36"/>
    <w:rsid w:val="00157DB6"/>
    <w:rsid w:val="00161EBF"/>
    <w:rsid w:val="00163926"/>
    <w:rsid w:val="001645D8"/>
    <w:rsid w:val="00164817"/>
    <w:rsid w:val="00170618"/>
    <w:rsid w:val="00170F84"/>
    <w:rsid w:val="0017283F"/>
    <w:rsid w:val="0017355A"/>
    <w:rsid w:val="00175224"/>
    <w:rsid w:val="001759A4"/>
    <w:rsid w:val="00175EF3"/>
    <w:rsid w:val="00176401"/>
    <w:rsid w:val="0017769F"/>
    <w:rsid w:val="00181BB3"/>
    <w:rsid w:val="00183D3D"/>
    <w:rsid w:val="00184957"/>
    <w:rsid w:val="001853E7"/>
    <w:rsid w:val="001858A3"/>
    <w:rsid w:val="00185F0E"/>
    <w:rsid w:val="00186079"/>
    <w:rsid w:val="001866F1"/>
    <w:rsid w:val="001924B2"/>
    <w:rsid w:val="001928FF"/>
    <w:rsid w:val="0019357A"/>
    <w:rsid w:val="0019406D"/>
    <w:rsid w:val="00194E62"/>
    <w:rsid w:val="00196CC8"/>
    <w:rsid w:val="00197E5A"/>
    <w:rsid w:val="00197EE0"/>
    <w:rsid w:val="001A0D94"/>
    <w:rsid w:val="001A1CE8"/>
    <w:rsid w:val="001A1F3B"/>
    <w:rsid w:val="001A257A"/>
    <w:rsid w:val="001A29D4"/>
    <w:rsid w:val="001A3C7E"/>
    <w:rsid w:val="001A4D1C"/>
    <w:rsid w:val="001A51A3"/>
    <w:rsid w:val="001A56F1"/>
    <w:rsid w:val="001A70A8"/>
    <w:rsid w:val="001B1154"/>
    <w:rsid w:val="001B30B5"/>
    <w:rsid w:val="001B389E"/>
    <w:rsid w:val="001B3B80"/>
    <w:rsid w:val="001B4616"/>
    <w:rsid w:val="001B54C6"/>
    <w:rsid w:val="001B6505"/>
    <w:rsid w:val="001B655A"/>
    <w:rsid w:val="001C04CC"/>
    <w:rsid w:val="001C0E46"/>
    <w:rsid w:val="001C25C1"/>
    <w:rsid w:val="001C2727"/>
    <w:rsid w:val="001C2C31"/>
    <w:rsid w:val="001C3A5A"/>
    <w:rsid w:val="001C49D3"/>
    <w:rsid w:val="001C4DF6"/>
    <w:rsid w:val="001C4FC3"/>
    <w:rsid w:val="001C56AE"/>
    <w:rsid w:val="001C7981"/>
    <w:rsid w:val="001D06E1"/>
    <w:rsid w:val="001D2C2F"/>
    <w:rsid w:val="001D2C36"/>
    <w:rsid w:val="001D5314"/>
    <w:rsid w:val="001D5E65"/>
    <w:rsid w:val="001D77C6"/>
    <w:rsid w:val="001D7996"/>
    <w:rsid w:val="001E0BA6"/>
    <w:rsid w:val="001E0C21"/>
    <w:rsid w:val="001E1313"/>
    <w:rsid w:val="001E1463"/>
    <w:rsid w:val="001E5468"/>
    <w:rsid w:val="001E5BEA"/>
    <w:rsid w:val="001E5F93"/>
    <w:rsid w:val="001E6716"/>
    <w:rsid w:val="001F093F"/>
    <w:rsid w:val="001F2D81"/>
    <w:rsid w:val="001F5716"/>
    <w:rsid w:val="001F68FC"/>
    <w:rsid w:val="001F702C"/>
    <w:rsid w:val="001F732F"/>
    <w:rsid w:val="001F7881"/>
    <w:rsid w:val="002011C2"/>
    <w:rsid w:val="002018AE"/>
    <w:rsid w:val="0020542C"/>
    <w:rsid w:val="002058E8"/>
    <w:rsid w:val="002114AD"/>
    <w:rsid w:val="00212249"/>
    <w:rsid w:val="00215229"/>
    <w:rsid w:val="0021566D"/>
    <w:rsid w:val="00215AA4"/>
    <w:rsid w:val="00220C82"/>
    <w:rsid w:val="00221A40"/>
    <w:rsid w:val="00221C7E"/>
    <w:rsid w:val="00221DB3"/>
    <w:rsid w:val="00221E51"/>
    <w:rsid w:val="00224DC2"/>
    <w:rsid w:val="0023018B"/>
    <w:rsid w:val="00231D47"/>
    <w:rsid w:val="0023309C"/>
    <w:rsid w:val="0023568C"/>
    <w:rsid w:val="00235866"/>
    <w:rsid w:val="00237021"/>
    <w:rsid w:val="00240CC4"/>
    <w:rsid w:val="00240EF9"/>
    <w:rsid w:val="002411AD"/>
    <w:rsid w:val="00241223"/>
    <w:rsid w:val="002415ED"/>
    <w:rsid w:val="002422DA"/>
    <w:rsid w:val="002425DE"/>
    <w:rsid w:val="00243ECD"/>
    <w:rsid w:val="002451EC"/>
    <w:rsid w:val="00245E1E"/>
    <w:rsid w:val="00247BC9"/>
    <w:rsid w:val="00247F5E"/>
    <w:rsid w:val="0025160A"/>
    <w:rsid w:val="0025187A"/>
    <w:rsid w:val="00252638"/>
    <w:rsid w:val="002532DA"/>
    <w:rsid w:val="0025690D"/>
    <w:rsid w:val="002574E8"/>
    <w:rsid w:val="0025794F"/>
    <w:rsid w:val="0026098B"/>
    <w:rsid w:val="002625DF"/>
    <w:rsid w:val="0026288C"/>
    <w:rsid w:val="002640E3"/>
    <w:rsid w:val="00264E2F"/>
    <w:rsid w:val="00265233"/>
    <w:rsid w:val="0027103C"/>
    <w:rsid w:val="00271782"/>
    <w:rsid w:val="00271BAD"/>
    <w:rsid w:val="002722F7"/>
    <w:rsid w:val="002728E9"/>
    <w:rsid w:val="00272C17"/>
    <w:rsid w:val="002738CE"/>
    <w:rsid w:val="002738ED"/>
    <w:rsid w:val="00273AA8"/>
    <w:rsid w:val="00274132"/>
    <w:rsid w:val="002753F8"/>
    <w:rsid w:val="00276451"/>
    <w:rsid w:val="00276B53"/>
    <w:rsid w:val="0027707A"/>
    <w:rsid w:val="00281903"/>
    <w:rsid w:val="0028223B"/>
    <w:rsid w:val="0028482D"/>
    <w:rsid w:val="0028550D"/>
    <w:rsid w:val="00286960"/>
    <w:rsid w:val="00286EF7"/>
    <w:rsid w:val="002875C3"/>
    <w:rsid w:val="00287858"/>
    <w:rsid w:val="00287860"/>
    <w:rsid w:val="00287881"/>
    <w:rsid w:val="0029087C"/>
    <w:rsid w:val="002908B4"/>
    <w:rsid w:val="00291303"/>
    <w:rsid w:val="00291522"/>
    <w:rsid w:val="00292598"/>
    <w:rsid w:val="002925BD"/>
    <w:rsid w:val="00292931"/>
    <w:rsid w:val="00294596"/>
    <w:rsid w:val="002961CF"/>
    <w:rsid w:val="00296354"/>
    <w:rsid w:val="0029640E"/>
    <w:rsid w:val="00296633"/>
    <w:rsid w:val="00296FA3"/>
    <w:rsid w:val="002972F4"/>
    <w:rsid w:val="00297958"/>
    <w:rsid w:val="002A1D87"/>
    <w:rsid w:val="002A4557"/>
    <w:rsid w:val="002A5878"/>
    <w:rsid w:val="002A68DE"/>
    <w:rsid w:val="002B1DA4"/>
    <w:rsid w:val="002B25CA"/>
    <w:rsid w:val="002B29A6"/>
    <w:rsid w:val="002B2D3B"/>
    <w:rsid w:val="002B388C"/>
    <w:rsid w:val="002B3E57"/>
    <w:rsid w:val="002B3EFE"/>
    <w:rsid w:val="002B4E8A"/>
    <w:rsid w:val="002B5644"/>
    <w:rsid w:val="002B6A49"/>
    <w:rsid w:val="002B6BA7"/>
    <w:rsid w:val="002B7150"/>
    <w:rsid w:val="002B7ACC"/>
    <w:rsid w:val="002C0B88"/>
    <w:rsid w:val="002C10D7"/>
    <w:rsid w:val="002C1E36"/>
    <w:rsid w:val="002C2177"/>
    <w:rsid w:val="002C39B4"/>
    <w:rsid w:val="002C3F9B"/>
    <w:rsid w:val="002C40A8"/>
    <w:rsid w:val="002C4709"/>
    <w:rsid w:val="002C4E2B"/>
    <w:rsid w:val="002C5B99"/>
    <w:rsid w:val="002C6653"/>
    <w:rsid w:val="002C6B69"/>
    <w:rsid w:val="002C6E89"/>
    <w:rsid w:val="002C7420"/>
    <w:rsid w:val="002C7530"/>
    <w:rsid w:val="002C7D9F"/>
    <w:rsid w:val="002D0C79"/>
    <w:rsid w:val="002D0E89"/>
    <w:rsid w:val="002D10B0"/>
    <w:rsid w:val="002D11B7"/>
    <w:rsid w:val="002D2390"/>
    <w:rsid w:val="002D3119"/>
    <w:rsid w:val="002D3905"/>
    <w:rsid w:val="002D3D09"/>
    <w:rsid w:val="002D4510"/>
    <w:rsid w:val="002D468E"/>
    <w:rsid w:val="002D6C85"/>
    <w:rsid w:val="002E006E"/>
    <w:rsid w:val="002E0C4F"/>
    <w:rsid w:val="002E1994"/>
    <w:rsid w:val="002E5436"/>
    <w:rsid w:val="002E6D41"/>
    <w:rsid w:val="002E6E4A"/>
    <w:rsid w:val="002F378C"/>
    <w:rsid w:val="002F64A5"/>
    <w:rsid w:val="00300804"/>
    <w:rsid w:val="00300ECC"/>
    <w:rsid w:val="00300F18"/>
    <w:rsid w:val="003010EF"/>
    <w:rsid w:val="00302E76"/>
    <w:rsid w:val="0030439C"/>
    <w:rsid w:val="00305451"/>
    <w:rsid w:val="00305D99"/>
    <w:rsid w:val="00305E79"/>
    <w:rsid w:val="00306290"/>
    <w:rsid w:val="00306595"/>
    <w:rsid w:val="00306688"/>
    <w:rsid w:val="00311655"/>
    <w:rsid w:val="00311957"/>
    <w:rsid w:val="00313B42"/>
    <w:rsid w:val="0031460A"/>
    <w:rsid w:val="0031588C"/>
    <w:rsid w:val="00315C31"/>
    <w:rsid w:val="00316230"/>
    <w:rsid w:val="00317EDB"/>
    <w:rsid w:val="0032002B"/>
    <w:rsid w:val="003205DB"/>
    <w:rsid w:val="00320615"/>
    <w:rsid w:val="00321280"/>
    <w:rsid w:val="00323507"/>
    <w:rsid w:val="00323DC0"/>
    <w:rsid w:val="00324AA7"/>
    <w:rsid w:val="00325DD3"/>
    <w:rsid w:val="00325E6C"/>
    <w:rsid w:val="00327108"/>
    <w:rsid w:val="00327507"/>
    <w:rsid w:val="00327F8C"/>
    <w:rsid w:val="00330542"/>
    <w:rsid w:val="003321D6"/>
    <w:rsid w:val="00333317"/>
    <w:rsid w:val="0033450D"/>
    <w:rsid w:val="0033628A"/>
    <w:rsid w:val="00336C57"/>
    <w:rsid w:val="00340ED7"/>
    <w:rsid w:val="003437D5"/>
    <w:rsid w:val="003446CD"/>
    <w:rsid w:val="0034480E"/>
    <w:rsid w:val="003479F0"/>
    <w:rsid w:val="00347C1F"/>
    <w:rsid w:val="003508F7"/>
    <w:rsid w:val="00350ACE"/>
    <w:rsid w:val="003516D9"/>
    <w:rsid w:val="003521B2"/>
    <w:rsid w:val="00352A4C"/>
    <w:rsid w:val="003533C7"/>
    <w:rsid w:val="00353BAE"/>
    <w:rsid w:val="00355182"/>
    <w:rsid w:val="00355C92"/>
    <w:rsid w:val="00356BCD"/>
    <w:rsid w:val="00357450"/>
    <w:rsid w:val="00357AF1"/>
    <w:rsid w:val="00357D9F"/>
    <w:rsid w:val="00361C12"/>
    <w:rsid w:val="00363401"/>
    <w:rsid w:val="0036342A"/>
    <w:rsid w:val="003639DD"/>
    <w:rsid w:val="0036751D"/>
    <w:rsid w:val="00367704"/>
    <w:rsid w:val="0037219B"/>
    <w:rsid w:val="00372344"/>
    <w:rsid w:val="00373364"/>
    <w:rsid w:val="0037480E"/>
    <w:rsid w:val="0037754F"/>
    <w:rsid w:val="00377AF9"/>
    <w:rsid w:val="00380485"/>
    <w:rsid w:val="003808B5"/>
    <w:rsid w:val="003844BA"/>
    <w:rsid w:val="00386F7F"/>
    <w:rsid w:val="00387C58"/>
    <w:rsid w:val="00390718"/>
    <w:rsid w:val="00391539"/>
    <w:rsid w:val="00391A54"/>
    <w:rsid w:val="003920D1"/>
    <w:rsid w:val="00393D9E"/>
    <w:rsid w:val="00394BA2"/>
    <w:rsid w:val="00396E25"/>
    <w:rsid w:val="003A0DC4"/>
    <w:rsid w:val="003A2766"/>
    <w:rsid w:val="003A45FF"/>
    <w:rsid w:val="003A47F4"/>
    <w:rsid w:val="003A5247"/>
    <w:rsid w:val="003A6299"/>
    <w:rsid w:val="003A6733"/>
    <w:rsid w:val="003A6778"/>
    <w:rsid w:val="003A6938"/>
    <w:rsid w:val="003A7B70"/>
    <w:rsid w:val="003B1A32"/>
    <w:rsid w:val="003B280B"/>
    <w:rsid w:val="003B3779"/>
    <w:rsid w:val="003B3FA7"/>
    <w:rsid w:val="003B41DB"/>
    <w:rsid w:val="003B6441"/>
    <w:rsid w:val="003B6C49"/>
    <w:rsid w:val="003B76F9"/>
    <w:rsid w:val="003C065B"/>
    <w:rsid w:val="003C06D1"/>
    <w:rsid w:val="003C0955"/>
    <w:rsid w:val="003C0B62"/>
    <w:rsid w:val="003C11CD"/>
    <w:rsid w:val="003C14E3"/>
    <w:rsid w:val="003C1593"/>
    <w:rsid w:val="003C2804"/>
    <w:rsid w:val="003C351D"/>
    <w:rsid w:val="003C446B"/>
    <w:rsid w:val="003C4745"/>
    <w:rsid w:val="003C4A94"/>
    <w:rsid w:val="003C678D"/>
    <w:rsid w:val="003C6B20"/>
    <w:rsid w:val="003D105B"/>
    <w:rsid w:val="003D2681"/>
    <w:rsid w:val="003D30E9"/>
    <w:rsid w:val="003D48E0"/>
    <w:rsid w:val="003D4F5E"/>
    <w:rsid w:val="003D5DCA"/>
    <w:rsid w:val="003D78BE"/>
    <w:rsid w:val="003D7AE5"/>
    <w:rsid w:val="003E02E8"/>
    <w:rsid w:val="003E20CA"/>
    <w:rsid w:val="003E36BA"/>
    <w:rsid w:val="003E3C85"/>
    <w:rsid w:val="003E4E9D"/>
    <w:rsid w:val="003E6743"/>
    <w:rsid w:val="003F15B5"/>
    <w:rsid w:val="003F2A03"/>
    <w:rsid w:val="003F3349"/>
    <w:rsid w:val="003F4669"/>
    <w:rsid w:val="003F6DF0"/>
    <w:rsid w:val="003F746F"/>
    <w:rsid w:val="00402ABB"/>
    <w:rsid w:val="004043FE"/>
    <w:rsid w:val="00404893"/>
    <w:rsid w:val="00404FB2"/>
    <w:rsid w:val="0040627C"/>
    <w:rsid w:val="0040661B"/>
    <w:rsid w:val="00407713"/>
    <w:rsid w:val="004100ED"/>
    <w:rsid w:val="0041028B"/>
    <w:rsid w:val="00411150"/>
    <w:rsid w:val="004115F7"/>
    <w:rsid w:val="00411789"/>
    <w:rsid w:val="00412975"/>
    <w:rsid w:val="0041362E"/>
    <w:rsid w:val="00413926"/>
    <w:rsid w:val="00413D33"/>
    <w:rsid w:val="00414460"/>
    <w:rsid w:val="0041458B"/>
    <w:rsid w:val="0041608A"/>
    <w:rsid w:val="00417FC8"/>
    <w:rsid w:val="004200C6"/>
    <w:rsid w:val="0042067E"/>
    <w:rsid w:val="00421D52"/>
    <w:rsid w:val="004229F0"/>
    <w:rsid w:val="00424783"/>
    <w:rsid w:val="0042524A"/>
    <w:rsid w:val="00425B7E"/>
    <w:rsid w:val="00431193"/>
    <w:rsid w:val="004334B4"/>
    <w:rsid w:val="00434D7A"/>
    <w:rsid w:val="00435187"/>
    <w:rsid w:val="00436993"/>
    <w:rsid w:val="00436AEA"/>
    <w:rsid w:val="0044009B"/>
    <w:rsid w:val="0044085C"/>
    <w:rsid w:val="00443026"/>
    <w:rsid w:val="00444E27"/>
    <w:rsid w:val="0044594F"/>
    <w:rsid w:val="00446AC1"/>
    <w:rsid w:val="00446DD6"/>
    <w:rsid w:val="00446EDB"/>
    <w:rsid w:val="004472DB"/>
    <w:rsid w:val="00447351"/>
    <w:rsid w:val="00447361"/>
    <w:rsid w:val="00447C55"/>
    <w:rsid w:val="00451072"/>
    <w:rsid w:val="0045177C"/>
    <w:rsid w:val="00451D75"/>
    <w:rsid w:val="00452722"/>
    <w:rsid w:val="0045461A"/>
    <w:rsid w:val="00454902"/>
    <w:rsid w:val="00454D69"/>
    <w:rsid w:val="00455101"/>
    <w:rsid w:val="00456AEB"/>
    <w:rsid w:val="00457AE9"/>
    <w:rsid w:val="00457BE6"/>
    <w:rsid w:val="00460563"/>
    <w:rsid w:val="00460ED6"/>
    <w:rsid w:val="004612B7"/>
    <w:rsid w:val="00461506"/>
    <w:rsid w:val="00462E6B"/>
    <w:rsid w:val="004637A6"/>
    <w:rsid w:val="0046492D"/>
    <w:rsid w:val="00464E77"/>
    <w:rsid w:val="00465FFF"/>
    <w:rsid w:val="00467FCE"/>
    <w:rsid w:val="004712BA"/>
    <w:rsid w:val="004724AC"/>
    <w:rsid w:val="004756CA"/>
    <w:rsid w:val="004768DC"/>
    <w:rsid w:val="00477B3F"/>
    <w:rsid w:val="004819CE"/>
    <w:rsid w:val="00481FB4"/>
    <w:rsid w:val="00483145"/>
    <w:rsid w:val="004832DE"/>
    <w:rsid w:val="00483A77"/>
    <w:rsid w:val="00484CB2"/>
    <w:rsid w:val="004855E1"/>
    <w:rsid w:val="004859A9"/>
    <w:rsid w:val="004873F2"/>
    <w:rsid w:val="00487A91"/>
    <w:rsid w:val="00487FF1"/>
    <w:rsid w:val="00490D98"/>
    <w:rsid w:val="004915F9"/>
    <w:rsid w:val="00491CF4"/>
    <w:rsid w:val="0049227A"/>
    <w:rsid w:val="00493020"/>
    <w:rsid w:val="0049307B"/>
    <w:rsid w:val="004943F2"/>
    <w:rsid w:val="00494636"/>
    <w:rsid w:val="004949EC"/>
    <w:rsid w:val="00495371"/>
    <w:rsid w:val="004954F9"/>
    <w:rsid w:val="00496958"/>
    <w:rsid w:val="00496E86"/>
    <w:rsid w:val="004A0BCC"/>
    <w:rsid w:val="004A2BB3"/>
    <w:rsid w:val="004A2ED0"/>
    <w:rsid w:val="004A489E"/>
    <w:rsid w:val="004A6305"/>
    <w:rsid w:val="004A6D53"/>
    <w:rsid w:val="004A6DFC"/>
    <w:rsid w:val="004A70A6"/>
    <w:rsid w:val="004A77CF"/>
    <w:rsid w:val="004B161F"/>
    <w:rsid w:val="004B230A"/>
    <w:rsid w:val="004B2F78"/>
    <w:rsid w:val="004B5A69"/>
    <w:rsid w:val="004B645A"/>
    <w:rsid w:val="004B64BF"/>
    <w:rsid w:val="004B74E3"/>
    <w:rsid w:val="004B7F8E"/>
    <w:rsid w:val="004C0A56"/>
    <w:rsid w:val="004C143C"/>
    <w:rsid w:val="004C2926"/>
    <w:rsid w:val="004C3FC0"/>
    <w:rsid w:val="004C4575"/>
    <w:rsid w:val="004D1DF3"/>
    <w:rsid w:val="004D28AB"/>
    <w:rsid w:val="004D37C5"/>
    <w:rsid w:val="004D3CC5"/>
    <w:rsid w:val="004D3FA3"/>
    <w:rsid w:val="004D408B"/>
    <w:rsid w:val="004D463A"/>
    <w:rsid w:val="004D4917"/>
    <w:rsid w:val="004D4CE3"/>
    <w:rsid w:val="004D5950"/>
    <w:rsid w:val="004D59F3"/>
    <w:rsid w:val="004D67CF"/>
    <w:rsid w:val="004D74BD"/>
    <w:rsid w:val="004E0385"/>
    <w:rsid w:val="004E1ADF"/>
    <w:rsid w:val="004E31DB"/>
    <w:rsid w:val="004E3D1C"/>
    <w:rsid w:val="004E48F1"/>
    <w:rsid w:val="004E5893"/>
    <w:rsid w:val="004E7031"/>
    <w:rsid w:val="004F10F3"/>
    <w:rsid w:val="004F12D6"/>
    <w:rsid w:val="004F226C"/>
    <w:rsid w:val="004F38F9"/>
    <w:rsid w:val="004F6042"/>
    <w:rsid w:val="004F6286"/>
    <w:rsid w:val="004F6CFC"/>
    <w:rsid w:val="00500935"/>
    <w:rsid w:val="00503AC7"/>
    <w:rsid w:val="00504889"/>
    <w:rsid w:val="005054BE"/>
    <w:rsid w:val="00505DA2"/>
    <w:rsid w:val="005070BE"/>
    <w:rsid w:val="005072F6"/>
    <w:rsid w:val="00507FF8"/>
    <w:rsid w:val="0051064E"/>
    <w:rsid w:val="00511AFB"/>
    <w:rsid w:val="00511C30"/>
    <w:rsid w:val="00512431"/>
    <w:rsid w:val="00512F02"/>
    <w:rsid w:val="0051405E"/>
    <w:rsid w:val="005145FC"/>
    <w:rsid w:val="00515A34"/>
    <w:rsid w:val="00516FD5"/>
    <w:rsid w:val="00517049"/>
    <w:rsid w:val="00520A05"/>
    <w:rsid w:val="005219A6"/>
    <w:rsid w:val="005241BA"/>
    <w:rsid w:val="00524B02"/>
    <w:rsid w:val="005269AB"/>
    <w:rsid w:val="005275E4"/>
    <w:rsid w:val="0053094E"/>
    <w:rsid w:val="00530EA4"/>
    <w:rsid w:val="005321DA"/>
    <w:rsid w:val="00532262"/>
    <w:rsid w:val="00533774"/>
    <w:rsid w:val="0053383B"/>
    <w:rsid w:val="00533B9B"/>
    <w:rsid w:val="00533E83"/>
    <w:rsid w:val="00534969"/>
    <w:rsid w:val="0053499A"/>
    <w:rsid w:val="005351B5"/>
    <w:rsid w:val="0053679B"/>
    <w:rsid w:val="00540513"/>
    <w:rsid w:val="00540714"/>
    <w:rsid w:val="0054309C"/>
    <w:rsid w:val="00543F47"/>
    <w:rsid w:val="0055112D"/>
    <w:rsid w:val="00551DAF"/>
    <w:rsid w:val="00551DC2"/>
    <w:rsid w:val="00552C6A"/>
    <w:rsid w:val="00553675"/>
    <w:rsid w:val="00553ACB"/>
    <w:rsid w:val="00553D10"/>
    <w:rsid w:val="005561F9"/>
    <w:rsid w:val="0055679B"/>
    <w:rsid w:val="00560039"/>
    <w:rsid w:val="005606C8"/>
    <w:rsid w:val="00561668"/>
    <w:rsid w:val="00561BD4"/>
    <w:rsid w:val="005622BE"/>
    <w:rsid w:val="00563FBB"/>
    <w:rsid w:val="005644AF"/>
    <w:rsid w:val="0056514D"/>
    <w:rsid w:val="00565980"/>
    <w:rsid w:val="00566F54"/>
    <w:rsid w:val="005728B7"/>
    <w:rsid w:val="00573C7C"/>
    <w:rsid w:val="00573D35"/>
    <w:rsid w:val="00573DB8"/>
    <w:rsid w:val="00575676"/>
    <w:rsid w:val="00580A9A"/>
    <w:rsid w:val="00581D1B"/>
    <w:rsid w:val="0058215A"/>
    <w:rsid w:val="0058239A"/>
    <w:rsid w:val="00582CF2"/>
    <w:rsid w:val="005840B6"/>
    <w:rsid w:val="00584758"/>
    <w:rsid w:val="0058517B"/>
    <w:rsid w:val="00586795"/>
    <w:rsid w:val="00587F2E"/>
    <w:rsid w:val="005921E2"/>
    <w:rsid w:val="00592948"/>
    <w:rsid w:val="00594C24"/>
    <w:rsid w:val="00595170"/>
    <w:rsid w:val="005A0F29"/>
    <w:rsid w:val="005A1F8B"/>
    <w:rsid w:val="005A2DFE"/>
    <w:rsid w:val="005A3C6A"/>
    <w:rsid w:val="005A4554"/>
    <w:rsid w:val="005A4827"/>
    <w:rsid w:val="005A5594"/>
    <w:rsid w:val="005A6DBD"/>
    <w:rsid w:val="005A6F32"/>
    <w:rsid w:val="005A725B"/>
    <w:rsid w:val="005B1644"/>
    <w:rsid w:val="005B2D39"/>
    <w:rsid w:val="005B45E8"/>
    <w:rsid w:val="005B7184"/>
    <w:rsid w:val="005C423A"/>
    <w:rsid w:val="005C4617"/>
    <w:rsid w:val="005C4998"/>
    <w:rsid w:val="005C49AA"/>
    <w:rsid w:val="005C4B19"/>
    <w:rsid w:val="005C4C78"/>
    <w:rsid w:val="005C597F"/>
    <w:rsid w:val="005C71F1"/>
    <w:rsid w:val="005C784A"/>
    <w:rsid w:val="005D046E"/>
    <w:rsid w:val="005D108B"/>
    <w:rsid w:val="005D2783"/>
    <w:rsid w:val="005D3079"/>
    <w:rsid w:val="005D32A6"/>
    <w:rsid w:val="005D344F"/>
    <w:rsid w:val="005D45BB"/>
    <w:rsid w:val="005D4FA8"/>
    <w:rsid w:val="005D607C"/>
    <w:rsid w:val="005D7509"/>
    <w:rsid w:val="005E07DC"/>
    <w:rsid w:val="005E0A40"/>
    <w:rsid w:val="005E1E39"/>
    <w:rsid w:val="005E2C37"/>
    <w:rsid w:val="005E388E"/>
    <w:rsid w:val="005E3CE4"/>
    <w:rsid w:val="005E4399"/>
    <w:rsid w:val="005E50DB"/>
    <w:rsid w:val="005E5217"/>
    <w:rsid w:val="005E6479"/>
    <w:rsid w:val="005E68D0"/>
    <w:rsid w:val="005F035E"/>
    <w:rsid w:val="005F098A"/>
    <w:rsid w:val="005F4DE7"/>
    <w:rsid w:val="005F6695"/>
    <w:rsid w:val="005F67A1"/>
    <w:rsid w:val="005F712C"/>
    <w:rsid w:val="006009A1"/>
    <w:rsid w:val="00601E21"/>
    <w:rsid w:val="0060203A"/>
    <w:rsid w:val="006032EF"/>
    <w:rsid w:val="00603B3B"/>
    <w:rsid w:val="00604401"/>
    <w:rsid w:val="00605B3C"/>
    <w:rsid w:val="00605CAA"/>
    <w:rsid w:val="006074D1"/>
    <w:rsid w:val="006077D9"/>
    <w:rsid w:val="00607EA9"/>
    <w:rsid w:val="00610B46"/>
    <w:rsid w:val="0061199E"/>
    <w:rsid w:val="00613892"/>
    <w:rsid w:val="00617092"/>
    <w:rsid w:val="00617902"/>
    <w:rsid w:val="00620B81"/>
    <w:rsid w:val="006210CA"/>
    <w:rsid w:val="00621AC1"/>
    <w:rsid w:val="00621D41"/>
    <w:rsid w:val="00622708"/>
    <w:rsid w:val="00622E7E"/>
    <w:rsid w:val="00625002"/>
    <w:rsid w:val="00625173"/>
    <w:rsid w:val="00625BC5"/>
    <w:rsid w:val="006263C3"/>
    <w:rsid w:val="00626608"/>
    <w:rsid w:val="00626C1D"/>
    <w:rsid w:val="00627345"/>
    <w:rsid w:val="006276B0"/>
    <w:rsid w:val="00630261"/>
    <w:rsid w:val="00630577"/>
    <w:rsid w:val="00632684"/>
    <w:rsid w:val="006329AF"/>
    <w:rsid w:val="006346AB"/>
    <w:rsid w:val="00634D70"/>
    <w:rsid w:val="0063573D"/>
    <w:rsid w:val="0063581F"/>
    <w:rsid w:val="006362C0"/>
    <w:rsid w:val="00637372"/>
    <w:rsid w:val="00640B5C"/>
    <w:rsid w:val="006413A3"/>
    <w:rsid w:val="00643079"/>
    <w:rsid w:val="00643409"/>
    <w:rsid w:val="00643A80"/>
    <w:rsid w:val="006456FB"/>
    <w:rsid w:val="00645EB9"/>
    <w:rsid w:val="00647F69"/>
    <w:rsid w:val="0065112C"/>
    <w:rsid w:val="00651654"/>
    <w:rsid w:val="00652B7D"/>
    <w:rsid w:val="00653A11"/>
    <w:rsid w:val="00655009"/>
    <w:rsid w:val="00656EDF"/>
    <w:rsid w:val="006573C4"/>
    <w:rsid w:val="0066059B"/>
    <w:rsid w:val="00660EDD"/>
    <w:rsid w:val="0066463D"/>
    <w:rsid w:val="006646EB"/>
    <w:rsid w:val="006651D7"/>
    <w:rsid w:val="0066550C"/>
    <w:rsid w:val="006660B6"/>
    <w:rsid w:val="006716BA"/>
    <w:rsid w:val="006717EB"/>
    <w:rsid w:val="00671D14"/>
    <w:rsid w:val="00671FE8"/>
    <w:rsid w:val="00672C2D"/>
    <w:rsid w:val="00672DCB"/>
    <w:rsid w:val="00673406"/>
    <w:rsid w:val="0067411A"/>
    <w:rsid w:val="006747A1"/>
    <w:rsid w:val="006760C8"/>
    <w:rsid w:val="006773E1"/>
    <w:rsid w:val="00677BC0"/>
    <w:rsid w:val="00682348"/>
    <w:rsid w:val="00682ED3"/>
    <w:rsid w:val="006834ED"/>
    <w:rsid w:val="00683547"/>
    <w:rsid w:val="00683A0B"/>
    <w:rsid w:val="00683DCB"/>
    <w:rsid w:val="00683E50"/>
    <w:rsid w:val="006845DC"/>
    <w:rsid w:val="006869D2"/>
    <w:rsid w:val="00686F41"/>
    <w:rsid w:val="00687AE1"/>
    <w:rsid w:val="00687D11"/>
    <w:rsid w:val="00687FAE"/>
    <w:rsid w:val="006906DE"/>
    <w:rsid w:val="00690EBF"/>
    <w:rsid w:val="0069246B"/>
    <w:rsid w:val="006927E0"/>
    <w:rsid w:val="00693A98"/>
    <w:rsid w:val="00695557"/>
    <w:rsid w:val="006955EC"/>
    <w:rsid w:val="006966E2"/>
    <w:rsid w:val="006966FF"/>
    <w:rsid w:val="00696C62"/>
    <w:rsid w:val="00696D31"/>
    <w:rsid w:val="00696F08"/>
    <w:rsid w:val="006975E9"/>
    <w:rsid w:val="006A144D"/>
    <w:rsid w:val="006A156C"/>
    <w:rsid w:val="006A237A"/>
    <w:rsid w:val="006A324E"/>
    <w:rsid w:val="006A4210"/>
    <w:rsid w:val="006A44A4"/>
    <w:rsid w:val="006A59C8"/>
    <w:rsid w:val="006A612E"/>
    <w:rsid w:val="006A6744"/>
    <w:rsid w:val="006A674F"/>
    <w:rsid w:val="006A6B1E"/>
    <w:rsid w:val="006A7467"/>
    <w:rsid w:val="006A7BEB"/>
    <w:rsid w:val="006B091F"/>
    <w:rsid w:val="006B16B8"/>
    <w:rsid w:val="006B260F"/>
    <w:rsid w:val="006B38B7"/>
    <w:rsid w:val="006B3EE1"/>
    <w:rsid w:val="006B40D5"/>
    <w:rsid w:val="006B544C"/>
    <w:rsid w:val="006B598E"/>
    <w:rsid w:val="006B5CE0"/>
    <w:rsid w:val="006C2B11"/>
    <w:rsid w:val="006C3374"/>
    <w:rsid w:val="006C4E1F"/>
    <w:rsid w:val="006C5DC3"/>
    <w:rsid w:val="006C747A"/>
    <w:rsid w:val="006C799B"/>
    <w:rsid w:val="006D38A4"/>
    <w:rsid w:val="006D5623"/>
    <w:rsid w:val="006D6400"/>
    <w:rsid w:val="006D6D7D"/>
    <w:rsid w:val="006D727F"/>
    <w:rsid w:val="006E0A95"/>
    <w:rsid w:val="006E1A27"/>
    <w:rsid w:val="006E2672"/>
    <w:rsid w:val="006E274B"/>
    <w:rsid w:val="006E2CFB"/>
    <w:rsid w:val="006E4641"/>
    <w:rsid w:val="006E4AEC"/>
    <w:rsid w:val="006E666B"/>
    <w:rsid w:val="006E7591"/>
    <w:rsid w:val="006E769F"/>
    <w:rsid w:val="006F0085"/>
    <w:rsid w:val="006F205A"/>
    <w:rsid w:val="006F36D5"/>
    <w:rsid w:val="006F3981"/>
    <w:rsid w:val="006F3A67"/>
    <w:rsid w:val="006F424B"/>
    <w:rsid w:val="006F514C"/>
    <w:rsid w:val="006F5312"/>
    <w:rsid w:val="006F6F7B"/>
    <w:rsid w:val="006F738F"/>
    <w:rsid w:val="00703127"/>
    <w:rsid w:val="0070339F"/>
    <w:rsid w:val="00704F30"/>
    <w:rsid w:val="00707B0A"/>
    <w:rsid w:val="00713865"/>
    <w:rsid w:val="00713FD9"/>
    <w:rsid w:val="007141EA"/>
    <w:rsid w:val="00714381"/>
    <w:rsid w:val="0071574B"/>
    <w:rsid w:val="00716280"/>
    <w:rsid w:val="00716A71"/>
    <w:rsid w:val="0071726C"/>
    <w:rsid w:val="00717442"/>
    <w:rsid w:val="00717C78"/>
    <w:rsid w:val="00721EA2"/>
    <w:rsid w:val="007222C5"/>
    <w:rsid w:val="00722594"/>
    <w:rsid w:val="00726E90"/>
    <w:rsid w:val="007274D8"/>
    <w:rsid w:val="00731433"/>
    <w:rsid w:val="00732728"/>
    <w:rsid w:val="00732CCB"/>
    <w:rsid w:val="007341B2"/>
    <w:rsid w:val="00735821"/>
    <w:rsid w:val="00735A18"/>
    <w:rsid w:val="00740391"/>
    <w:rsid w:val="007415AF"/>
    <w:rsid w:val="007417F3"/>
    <w:rsid w:val="007418A5"/>
    <w:rsid w:val="007422F7"/>
    <w:rsid w:val="00742DA7"/>
    <w:rsid w:val="00743DDE"/>
    <w:rsid w:val="00744431"/>
    <w:rsid w:val="0074483B"/>
    <w:rsid w:val="00744CDB"/>
    <w:rsid w:val="00746506"/>
    <w:rsid w:val="00750468"/>
    <w:rsid w:val="007512D6"/>
    <w:rsid w:val="00752297"/>
    <w:rsid w:val="007525C4"/>
    <w:rsid w:val="007525E0"/>
    <w:rsid w:val="0075262D"/>
    <w:rsid w:val="00752738"/>
    <w:rsid w:val="00752F47"/>
    <w:rsid w:val="0075387D"/>
    <w:rsid w:val="007565EF"/>
    <w:rsid w:val="0075674B"/>
    <w:rsid w:val="00756B9A"/>
    <w:rsid w:val="00757737"/>
    <w:rsid w:val="00757C98"/>
    <w:rsid w:val="00762113"/>
    <w:rsid w:val="007622A4"/>
    <w:rsid w:val="00762708"/>
    <w:rsid w:val="0076493C"/>
    <w:rsid w:val="00765C86"/>
    <w:rsid w:val="00766B70"/>
    <w:rsid w:val="00766BB2"/>
    <w:rsid w:val="00767499"/>
    <w:rsid w:val="00767629"/>
    <w:rsid w:val="00767C68"/>
    <w:rsid w:val="0077255D"/>
    <w:rsid w:val="007735EB"/>
    <w:rsid w:val="00774000"/>
    <w:rsid w:val="0078015B"/>
    <w:rsid w:val="007822F5"/>
    <w:rsid w:val="00782CEE"/>
    <w:rsid w:val="007831DD"/>
    <w:rsid w:val="007852D8"/>
    <w:rsid w:val="0078571E"/>
    <w:rsid w:val="007875BC"/>
    <w:rsid w:val="00790598"/>
    <w:rsid w:val="007916B4"/>
    <w:rsid w:val="00793A92"/>
    <w:rsid w:val="00794123"/>
    <w:rsid w:val="0079655A"/>
    <w:rsid w:val="0079738B"/>
    <w:rsid w:val="007A07A2"/>
    <w:rsid w:val="007A1E05"/>
    <w:rsid w:val="007A217B"/>
    <w:rsid w:val="007A299B"/>
    <w:rsid w:val="007A2E21"/>
    <w:rsid w:val="007A3FF4"/>
    <w:rsid w:val="007A60EB"/>
    <w:rsid w:val="007A643D"/>
    <w:rsid w:val="007A6A22"/>
    <w:rsid w:val="007B2532"/>
    <w:rsid w:val="007B3063"/>
    <w:rsid w:val="007B3135"/>
    <w:rsid w:val="007B32C8"/>
    <w:rsid w:val="007B6A4A"/>
    <w:rsid w:val="007C04D1"/>
    <w:rsid w:val="007C0DE1"/>
    <w:rsid w:val="007C28C1"/>
    <w:rsid w:val="007C2F41"/>
    <w:rsid w:val="007C372D"/>
    <w:rsid w:val="007C45F8"/>
    <w:rsid w:val="007C4B99"/>
    <w:rsid w:val="007C51AC"/>
    <w:rsid w:val="007C6535"/>
    <w:rsid w:val="007D0289"/>
    <w:rsid w:val="007D0443"/>
    <w:rsid w:val="007D2102"/>
    <w:rsid w:val="007D23C3"/>
    <w:rsid w:val="007D35EA"/>
    <w:rsid w:val="007D3D7B"/>
    <w:rsid w:val="007D4A70"/>
    <w:rsid w:val="007D4FA5"/>
    <w:rsid w:val="007D510E"/>
    <w:rsid w:val="007D537C"/>
    <w:rsid w:val="007D5AD0"/>
    <w:rsid w:val="007D5ED7"/>
    <w:rsid w:val="007D762A"/>
    <w:rsid w:val="007D76BF"/>
    <w:rsid w:val="007E0662"/>
    <w:rsid w:val="007E1313"/>
    <w:rsid w:val="007E1AAA"/>
    <w:rsid w:val="007E5558"/>
    <w:rsid w:val="007E6E0A"/>
    <w:rsid w:val="007F1DC4"/>
    <w:rsid w:val="007F3232"/>
    <w:rsid w:val="007F3DF8"/>
    <w:rsid w:val="007F4270"/>
    <w:rsid w:val="007F5934"/>
    <w:rsid w:val="007F5DB2"/>
    <w:rsid w:val="007F6571"/>
    <w:rsid w:val="007F690D"/>
    <w:rsid w:val="00800615"/>
    <w:rsid w:val="00800EBF"/>
    <w:rsid w:val="00800EEA"/>
    <w:rsid w:val="0080117C"/>
    <w:rsid w:val="00801A1A"/>
    <w:rsid w:val="00802C29"/>
    <w:rsid w:val="00803ED0"/>
    <w:rsid w:val="008047F2"/>
    <w:rsid w:val="00806DD8"/>
    <w:rsid w:val="00807509"/>
    <w:rsid w:val="00807C90"/>
    <w:rsid w:val="00810C7B"/>
    <w:rsid w:val="00811644"/>
    <w:rsid w:val="00813981"/>
    <w:rsid w:val="008144C2"/>
    <w:rsid w:val="00814D99"/>
    <w:rsid w:val="0081561C"/>
    <w:rsid w:val="00815EC6"/>
    <w:rsid w:val="00817CBC"/>
    <w:rsid w:val="00820DDA"/>
    <w:rsid w:val="008216D2"/>
    <w:rsid w:val="00821E1D"/>
    <w:rsid w:val="00822BAA"/>
    <w:rsid w:val="00823B54"/>
    <w:rsid w:val="00823D3A"/>
    <w:rsid w:val="008241D5"/>
    <w:rsid w:val="00824B0B"/>
    <w:rsid w:val="0082633E"/>
    <w:rsid w:val="008263BD"/>
    <w:rsid w:val="00826CDB"/>
    <w:rsid w:val="00826DC6"/>
    <w:rsid w:val="00827787"/>
    <w:rsid w:val="0082778B"/>
    <w:rsid w:val="008306DE"/>
    <w:rsid w:val="0083079E"/>
    <w:rsid w:val="008312DB"/>
    <w:rsid w:val="00831AEA"/>
    <w:rsid w:val="00831BAC"/>
    <w:rsid w:val="008324A6"/>
    <w:rsid w:val="008326DD"/>
    <w:rsid w:val="00832992"/>
    <w:rsid w:val="00832B07"/>
    <w:rsid w:val="00832C81"/>
    <w:rsid w:val="00833B7F"/>
    <w:rsid w:val="008341C4"/>
    <w:rsid w:val="008349B6"/>
    <w:rsid w:val="00836A07"/>
    <w:rsid w:val="00836CC6"/>
    <w:rsid w:val="00837813"/>
    <w:rsid w:val="008401EA"/>
    <w:rsid w:val="00840696"/>
    <w:rsid w:val="00840A23"/>
    <w:rsid w:val="0084105A"/>
    <w:rsid w:val="008416BA"/>
    <w:rsid w:val="00843264"/>
    <w:rsid w:val="00844EF5"/>
    <w:rsid w:val="00846574"/>
    <w:rsid w:val="00847BF8"/>
    <w:rsid w:val="00850DB3"/>
    <w:rsid w:val="0085104D"/>
    <w:rsid w:val="008511FB"/>
    <w:rsid w:val="00852039"/>
    <w:rsid w:val="008535F7"/>
    <w:rsid w:val="008539B9"/>
    <w:rsid w:val="00854BEA"/>
    <w:rsid w:val="00855F69"/>
    <w:rsid w:val="00856C89"/>
    <w:rsid w:val="0085710F"/>
    <w:rsid w:val="0085738C"/>
    <w:rsid w:val="00861447"/>
    <w:rsid w:val="00861EFE"/>
    <w:rsid w:val="00863386"/>
    <w:rsid w:val="00863755"/>
    <w:rsid w:val="00864712"/>
    <w:rsid w:val="00864BA5"/>
    <w:rsid w:val="00864FE0"/>
    <w:rsid w:val="008656FB"/>
    <w:rsid w:val="00866B56"/>
    <w:rsid w:val="00866EDF"/>
    <w:rsid w:val="0086761C"/>
    <w:rsid w:val="008679D2"/>
    <w:rsid w:val="00870EB9"/>
    <w:rsid w:val="00872360"/>
    <w:rsid w:val="008723DA"/>
    <w:rsid w:val="008728A6"/>
    <w:rsid w:val="00874841"/>
    <w:rsid w:val="00874A6E"/>
    <w:rsid w:val="00874B95"/>
    <w:rsid w:val="00875FDA"/>
    <w:rsid w:val="008763C4"/>
    <w:rsid w:val="0087673B"/>
    <w:rsid w:val="00876B52"/>
    <w:rsid w:val="00877355"/>
    <w:rsid w:val="00877392"/>
    <w:rsid w:val="008773C6"/>
    <w:rsid w:val="00881128"/>
    <w:rsid w:val="00881D5B"/>
    <w:rsid w:val="00882623"/>
    <w:rsid w:val="00882E31"/>
    <w:rsid w:val="00883155"/>
    <w:rsid w:val="0088357C"/>
    <w:rsid w:val="00884A37"/>
    <w:rsid w:val="00884E68"/>
    <w:rsid w:val="00887767"/>
    <w:rsid w:val="00892C21"/>
    <w:rsid w:val="008931B1"/>
    <w:rsid w:val="0089377C"/>
    <w:rsid w:val="008940D7"/>
    <w:rsid w:val="00894C50"/>
    <w:rsid w:val="00894E02"/>
    <w:rsid w:val="00894EDE"/>
    <w:rsid w:val="008966F9"/>
    <w:rsid w:val="00897EFF"/>
    <w:rsid w:val="008A159B"/>
    <w:rsid w:val="008A2517"/>
    <w:rsid w:val="008A2953"/>
    <w:rsid w:val="008A648E"/>
    <w:rsid w:val="008A6CBD"/>
    <w:rsid w:val="008A73FA"/>
    <w:rsid w:val="008A7456"/>
    <w:rsid w:val="008A7A3B"/>
    <w:rsid w:val="008A7F5A"/>
    <w:rsid w:val="008B04F8"/>
    <w:rsid w:val="008B0E29"/>
    <w:rsid w:val="008B3215"/>
    <w:rsid w:val="008B35FA"/>
    <w:rsid w:val="008B3875"/>
    <w:rsid w:val="008B4AC0"/>
    <w:rsid w:val="008B4ECA"/>
    <w:rsid w:val="008B6770"/>
    <w:rsid w:val="008B72D0"/>
    <w:rsid w:val="008C05B8"/>
    <w:rsid w:val="008C0626"/>
    <w:rsid w:val="008C0A3C"/>
    <w:rsid w:val="008C0B9D"/>
    <w:rsid w:val="008C1131"/>
    <w:rsid w:val="008C1AC4"/>
    <w:rsid w:val="008C25C0"/>
    <w:rsid w:val="008C30B4"/>
    <w:rsid w:val="008C4D9E"/>
    <w:rsid w:val="008C6E39"/>
    <w:rsid w:val="008C6F79"/>
    <w:rsid w:val="008C7D91"/>
    <w:rsid w:val="008D196B"/>
    <w:rsid w:val="008D227B"/>
    <w:rsid w:val="008D22DE"/>
    <w:rsid w:val="008D2F28"/>
    <w:rsid w:val="008D346F"/>
    <w:rsid w:val="008D4536"/>
    <w:rsid w:val="008D4B15"/>
    <w:rsid w:val="008D7603"/>
    <w:rsid w:val="008D7B4A"/>
    <w:rsid w:val="008E05A4"/>
    <w:rsid w:val="008E0891"/>
    <w:rsid w:val="008E0F57"/>
    <w:rsid w:val="008E116E"/>
    <w:rsid w:val="008E1ABB"/>
    <w:rsid w:val="008E1B7C"/>
    <w:rsid w:val="008E2144"/>
    <w:rsid w:val="008E2927"/>
    <w:rsid w:val="008E2E44"/>
    <w:rsid w:val="008E3674"/>
    <w:rsid w:val="008E7B6B"/>
    <w:rsid w:val="008F13F5"/>
    <w:rsid w:val="008F1AE8"/>
    <w:rsid w:val="008F2B36"/>
    <w:rsid w:val="008F3AC6"/>
    <w:rsid w:val="008F4679"/>
    <w:rsid w:val="008F50F1"/>
    <w:rsid w:val="008F592C"/>
    <w:rsid w:val="008F6594"/>
    <w:rsid w:val="008F7299"/>
    <w:rsid w:val="00903104"/>
    <w:rsid w:val="009037FF"/>
    <w:rsid w:val="009038F3"/>
    <w:rsid w:val="00904EB1"/>
    <w:rsid w:val="00905168"/>
    <w:rsid w:val="00905ACF"/>
    <w:rsid w:val="0090710C"/>
    <w:rsid w:val="009079C2"/>
    <w:rsid w:val="00910251"/>
    <w:rsid w:val="00911BDB"/>
    <w:rsid w:val="0091299B"/>
    <w:rsid w:val="0091350D"/>
    <w:rsid w:val="00913649"/>
    <w:rsid w:val="00914987"/>
    <w:rsid w:val="00914BDB"/>
    <w:rsid w:val="00914FDD"/>
    <w:rsid w:val="00915C72"/>
    <w:rsid w:val="00915F8B"/>
    <w:rsid w:val="00920C04"/>
    <w:rsid w:val="00922EFD"/>
    <w:rsid w:val="00923457"/>
    <w:rsid w:val="00924AFA"/>
    <w:rsid w:val="00925379"/>
    <w:rsid w:val="009257F2"/>
    <w:rsid w:val="00927543"/>
    <w:rsid w:val="009276FC"/>
    <w:rsid w:val="00930EE5"/>
    <w:rsid w:val="009325FF"/>
    <w:rsid w:val="00935D23"/>
    <w:rsid w:val="009413AF"/>
    <w:rsid w:val="009419EF"/>
    <w:rsid w:val="00943839"/>
    <w:rsid w:val="00944198"/>
    <w:rsid w:val="00944F7D"/>
    <w:rsid w:val="009478E9"/>
    <w:rsid w:val="00950428"/>
    <w:rsid w:val="00950866"/>
    <w:rsid w:val="00954E2A"/>
    <w:rsid w:val="00955165"/>
    <w:rsid w:val="00955F3A"/>
    <w:rsid w:val="00956440"/>
    <w:rsid w:val="00956E08"/>
    <w:rsid w:val="00957073"/>
    <w:rsid w:val="009579A5"/>
    <w:rsid w:val="00957FD8"/>
    <w:rsid w:val="0096108D"/>
    <w:rsid w:val="00961593"/>
    <w:rsid w:val="0096193B"/>
    <w:rsid w:val="00962B20"/>
    <w:rsid w:val="00962E25"/>
    <w:rsid w:val="00963A99"/>
    <w:rsid w:val="009652B7"/>
    <w:rsid w:val="00970D3F"/>
    <w:rsid w:val="0097149C"/>
    <w:rsid w:val="00972BC5"/>
    <w:rsid w:val="00972FBF"/>
    <w:rsid w:val="00973413"/>
    <w:rsid w:val="0097548C"/>
    <w:rsid w:val="00976CA9"/>
    <w:rsid w:val="009802EE"/>
    <w:rsid w:val="00980D1F"/>
    <w:rsid w:val="0098142D"/>
    <w:rsid w:val="00981DBA"/>
    <w:rsid w:val="0098249F"/>
    <w:rsid w:val="00982508"/>
    <w:rsid w:val="00982756"/>
    <w:rsid w:val="00982C76"/>
    <w:rsid w:val="00983BCD"/>
    <w:rsid w:val="00984AA4"/>
    <w:rsid w:val="009852BB"/>
    <w:rsid w:val="00985C17"/>
    <w:rsid w:val="00986B7B"/>
    <w:rsid w:val="00987D86"/>
    <w:rsid w:val="00990013"/>
    <w:rsid w:val="009920A0"/>
    <w:rsid w:val="00992284"/>
    <w:rsid w:val="00992B76"/>
    <w:rsid w:val="00993C28"/>
    <w:rsid w:val="009945C9"/>
    <w:rsid w:val="009952A1"/>
    <w:rsid w:val="00995EFC"/>
    <w:rsid w:val="00996EDB"/>
    <w:rsid w:val="009A10F0"/>
    <w:rsid w:val="009A21BC"/>
    <w:rsid w:val="009A3CC9"/>
    <w:rsid w:val="009A4236"/>
    <w:rsid w:val="009A4FF6"/>
    <w:rsid w:val="009B2467"/>
    <w:rsid w:val="009B3136"/>
    <w:rsid w:val="009B4600"/>
    <w:rsid w:val="009B5F79"/>
    <w:rsid w:val="009B69B2"/>
    <w:rsid w:val="009B6F0E"/>
    <w:rsid w:val="009C129F"/>
    <w:rsid w:val="009C3EC8"/>
    <w:rsid w:val="009C4795"/>
    <w:rsid w:val="009C65A6"/>
    <w:rsid w:val="009C6A92"/>
    <w:rsid w:val="009C7178"/>
    <w:rsid w:val="009D0345"/>
    <w:rsid w:val="009D0346"/>
    <w:rsid w:val="009D08A2"/>
    <w:rsid w:val="009D1824"/>
    <w:rsid w:val="009D1A36"/>
    <w:rsid w:val="009D3AD8"/>
    <w:rsid w:val="009D4F22"/>
    <w:rsid w:val="009D5BA7"/>
    <w:rsid w:val="009D64C4"/>
    <w:rsid w:val="009D67CD"/>
    <w:rsid w:val="009D7AC7"/>
    <w:rsid w:val="009E18D4"/>
    <w:rsid w:val="009E3430"/>
    <w:rsid w:val="009E3D92"/>
    <w:rsid w:val="009E4A92"/>
    <w:rsid w:val="009E4D28"/>
    <w:rsid w:val="009E5A81"/>
    <w:rsid w:val="009E6041"/>
    <w:rsid w:val="009E6C2B"/>
    <w:rsid w:val="009E708C"/>
    <w:rsid w:val="009F2362"/>
    <w:rsid w:val="009F26CD"/>
    <w:rsid w:val="009F3F76"/>
    <w:rsid w:val="009F529B"/>
    <w:rsid w:val="009F5DF8"/>
    <w:rsid w:val="00A00087"/>
    <w:rsid w:val="00A0023C"/>
    <w:rsid w:val="00A0055B"/>
    <w:rsid w:val="00A00C27"/>
    <w:rsid w:val="00A00C78"/>
    <w:rsid w:val="00A01005"/>
    <w:rsid w:val="00A01AC2"/>
    <w:rsid w:val="00A04B9B"/>
    <w:rsid w:val="00A05B10"/>
    <w:rsid w:val="00A061B4"/>
    <w:rsid w:val="00A0689D"/>
    <w:rsid w:val="00A06E10"/>
    <w:rsid w:val="00A07175"/>
    <w:rsid w:val="00A07E0B"/>
    <w:rsid w:val="00A11247"/>
    <w:rsid w:val="00A11812"/>
    <w:rsid w:val="00A13DBE"/>
    <w:rsid w:val="00A1439F"/>
    <w:rsid w:val="00A25188"/>
    <w:rsid w:val="00A255A5"/>
    <w:rsid w:val="00A25CEF"/>
    <w:rsid w:val="00A27E0C"/>
    <w:rsid w:val="00A322F7"/>
    <w:rsid w:val="00A325EA"/>
    <w:rsid w:val="00A33ABC"/>
    <w:rsid w:val="00A34E0E"/>
    <w:rsid w:val="00A358F3"/>
    <w:rsid w:val="00A368A5"/>
    <w:rsid w:val="00A373F2"/>
    <w:rsid w:val="00A40A44"/>
    <w:rsid w:val="00A4165E"/>
    <w:rsid w:val="00A41BC5"/>
    <w:rsid w:val="00A43032"/>
    <w:rsid w:val="00A44D17"/>
    <w:rsid w:val="00A46428"/>
    <w:rsid w:val="00A466A3"/>
    <w:rsid w:val="00A46B55"/>
    <w:rsid w:val="00A5086B"/>
    <w:rsid w:val="00A50B59"/>
    <w:rsid w:val="00A50E92"/>
    <w:rsid w:val="00A53756"/>
    <w:rsid w:val="00A537F3"/>
    <w:rsid w:val="00A546FA"/>
    <w:rsid w:val="00A54A75"/>
    <w:rsid w:val="00A57B74"/>
    <w:rsid w:val="00A57BD8"/>
    <w:rsid w:val="00A60E1E"/>
    <w:rsid w:val="00A6202F"/>
    <w:rsid w:val="00A63DC1"/>
    <w:rsid w:val="00A64509"/>
    <w:rsid w:val="00A65EEC"/>
    <w:rsid w:val="00A66833"/>
    <w:rsid w:val="00A67877"/>
    <w:rsid w:val="00A703E1"/>
    <w:rsid w:val="00A70953"/>
    <w:rsid w:val="00A7108E"/>
    <w:rsid w:val="00A71970"/>
    <w:rsid w:val="00A72D7D"/>
    <w:rsid w:val="00A731BC"/>
    <w:rsid w:val="00A73251"/>
    <w:rsid w:val="00A73D85"/>
    <w:rsid w:val="00A75F13"/>
    <w:rsid w:val="00A7617A"/>
    <w:rsid w:val="00A770A5"/>
    <w:rsid w:val="00A77B0A"/>
    <w:rsid w:val="00A77D11"/>
    <w:rsid w:val="00A82781"/>
    <w:rsid w:val="00A828BF"/>
    <w:rsid w:val="00A84493"/>
    <w:rsid w:val="00A84542"/>
    <w:rsid w:val="00A84734"/>
    <w:rsid w:val="00A84D3D"/>
    <w:rsid w:val="00A8563A"/>
    <w:rsid w:val="00A8613E"/>
    <w:rsid w:val="00A907D6"/>
    <w:rsid w:val="00A90B96"/>
    <w:rsid w:val="00A91481"/>
    <w:rsid w:val="00A9185C"/>
    <w:rsid w:val="00A92623"/>
    <w:rsid w:val="00A92A76"/>
    <w:rsid w:val="00A9453D"/>
    <w:rsid w:val="00A9488F"/>
    <w:rsid w:val="00A9589A"/>
    <w:rsid w:val="00AA00B6"/>
    <w:rsid w:val="00AA0747"/>
    <w:rsid w:val="00AA2352"/>
    <w:rsid w:val="00AA3119"/>
    <w:rsid w:val="00AA460A"/>
    <w:rsid w:val="00AA5123"/>
    <w:rsid w:val="00AA5796"/>
    <w:rsid w:val="00AA5E37"/>
    <w:rsid w:val="00AA6891"/>
    <w:rsid w:val="00AB116C"/>
    <w:rsid w:val="00AB16BA"/>
    <w:rsid w:val="00AB2200"/>
    <w:rsid w:val="00AB25A6"/>
    <w:rsid w:val="00AB29C2"/>
    <w:rsid w:val="00AB4C30"/>
    <w:rsid w:val="00AB4D58"/>
    <w:rsid w:val="00AB4D90"/>
    <w:rsid w:val="00AB5EA4"/>
    <w:rsid w:val="00AB6117"/>
    <w:rsid w:val="00AB74F2"/>
    <w:rsid w:val="00AC1425"/>
    <w:rsid w:val="00AC1764"/>
    <w:rsid w:val="00AC18E3"/>
    <w:rsid w:val="00AC2651"/>
    <w:rsid w:val="00AC3548"/>
    <w:rsid w:val="00AC395C"/>
    <w:rsid w:val="00AC4721"/>
    <w:rsid w:val="00AC4C0D"/>
    <w:rsid w:val="00AC53DA"/>
    <w:rsid w:val="00AC624B"/>
    <w:rsid w:val="00AC71F0"/>
    <w:rsid w:val="00AC7E5B"/>
    <w:rsid w:val="00AD0D91"/>
    <w:rsid w:val="00AD3851"/>
    <w:rsid w:val="00AD4877"/>
    <w:rsid w:val="00AD5931"/>
    <w:rsid w:val="00AD7326"/>
    <w:rsid w:val="00AD7345"/>
    <w:rsid w:val="00AE09F1"/>
    <w:rsid w:val="00AE1CA3"/>
    <w:rsid w:val="00AE378C"/>
    <w:rsid w:val="00AE3861"/>
    <w:rsid w:val="00AE6438"/>
    <w:rsid w:val="00AE6951"/>
    <w:rsid w:val="00AE7715"/>
    <w:rsid w:val="00AF02D3"/>
    <w:rsid w:val="00AF0F7F"/>
    <w:rsid w:val="00AF1DC1"/>
    <w:rsid w:val="00AF2BA5"/>
    <w:rsid w:val="00AF524F"/>
    <w:rsid w:val="00AF52C8"/>
    <w:rsid w:val="00AF543C"/>
    <w:rsid w:val="00AF711F"/>
    <w:rsid w:val="00B01679"/>
    <w:rsid w:val="00B02B52"/>
    <w:rsid w:val="00B036D7"/>
    <w:rsid w:val="00B03964"/>
    <w:rsid w:val="00B04E4A"/>
    <w:rsid w:val="00B05168"/>
    <w:rsid w:val="00B06BBD"/>
    <w:rsid w:val="00B07241"/>
    <w:rsid w:val="00B1025F"/>
    <w:rsid w:val="00B10813"/>
    <w:rsid w:val="00B10E3C"/>
    <w:rsid w:val="00B113DD"/>
    <w:rsid w:val="00B11481"/>
    <w:rsid w:val="00B121A9"/>
    <w:rsid w:val="00B12ABB"/>
    <w:rsid w:val="00B1444F"/>
    <w:rsid w:val="00B14C3D"/>
    <w:rsid w:val="00B1571B"/>
    <w:rsid w:val="00B1683B"/>
    <w:rsid w:val="00B178DD"/>
    <w:rsid w:val="00B17CB0"/>
    <w:rsid w:val="00B21723"/>
    <w:rsid w:val="00B226CA"/>
    <w:rsid w:val="00B22CE6"/>
    <w:rsid w:val="00B23508"/>
    <w:rsid w:val="00B235F3"/>
    <w:rsid w:val="00B2446E"/>
    <w:rsid w:val="00B247B1"/>
    <w:rsid w:val="00B248DF"/>
    <w:rsid w:val="00B263B4"/>
    <w:rsid w:val="00B27DA8"/>
    <w:rsid w:val="00B30669"/>
    <w:rsid w:val="00B3241C"/>
    <w:rsid w:val="00B3514D"/>
    <w:rsid w:val="00B363ED"/>
    <w:rsid w:val="00B36CDA"/>
    <w:rsid w:val="00B370FD"/>
    <w:rsid w:val="00B37C7A"/>
    <w:rsid w:val="00B41752"/>
    <w:rsid w:val="00B41C11"/>
    <w:rsid w:val="00B43A3B"/>
    <w:rsid w:val="00B43AAE"/>
    <w:rsid w:val="00B45D70"/>
    <w:rsid w:val="00B45F94"/>
    <w:rsid w:val="00B45FA0"/>
    <w:rsid w:val="00B46E4C"/>
    <w:rsid w:val="00B4739A"/>
    <w:rsid w:val="00B51590"/>
    <w:rsid w:val="00B535DA"/>
    <w:rsid w:val="00B53C54"/>
    <w:rsid w:val="00B53CB7"/>
    <w:rsid w:val="00B54F5B"/>
    <w:rsid w:val="00B60758"/>
    <w:rsid w:val="00B60FD7"/>
    <w:rsid w:val="00B61BBE"/>
    <w:rsid w:val="00B62D28"/>
    <w:rsid w:val="00B63250"/>
    <w:rsid w:val="00B66AC3"/>
    <w:rsid w:val="00B674C5"/>
    <w:rsid w:val="00B7011A"/>
    <w:rsid w:val="00B7068D"/>
    <w:rsid w:val="00B70FBC"/>
    <w:rsid w:val="00B712FD"/>
    <w:rsid w:val="00B716C4"/>
    <w:rsid w:val="00B72B4A"/>
    <w:rsid w:val="00B744A9"/>
    <w:rsid w:val="00B74FE7"/>
    <w:rsid w:val="00B75CFD"/>
    <w:rsid w:val="00B76E54"/>
    <w:rsid w:val="00B80856"/>
    <w:rsid w:val="00B81BE0"/>
    <w:rsid w:val="00B82169"/>
    <w:rsid w:val="00B84509"/>
    <w:rsid w:val="00B852AF"/>
    <w:rsid w:val="00B85732"/>
    <w:rsid w:val="00B87E96"/>
    <w:rsid w:val="00B92347"/>
    <w:rsid w:val="00B934A3"/>
    <w:rsid w:val="00B93674"/>
    <w:rsid w:val="00B93C83"/>
    <w:rsid w:val="00B948B8"/>
    <w:rsid w:val="00B94C72"/>
    <w:rsid w:val="00B97192"/>
    <w:rsid w:val="00BA0316"/>
    <w:rsid w:val="00BA1E9F"/>
    <w:rsid w:val="00BA3E54"/>
    <w:rsid w:val="00BA3FAB"/>
    <w:rsid w:val="00BA4D46"/>
    <w:rsid w:val="00BA5215"/>
    <w:rsid w:val="00BA563E"/>
    <w:rsid w:val="00BA6184"/>
    <w:rsid w:val="00BA6CD3"/>
    <w:rsid w:val="00BA7D21"/>
    <w:rsid w:val="00BB0B65"/>
    <w:rsid w:val="00BB112C"/>
    <w:rsid w:val="00BB24EA"/>
    <w:rsid w:val="00BB3495"/>
    <w:rsid w:val="00BB389E"/>
    <w:rsid w:val="00BB3A3D"/>
    <w:rsid w:val="00BB45A4"/>
    <w:rsid w:val="00BB4ED0"/>
    <w:rsid w:val="00BB5B5D"/>
    <w:rsid w:val="00BB5DF4"/>
    <w:rsid w:val="00BB6AB1"/>
    <w:rsid w:val="00BB6B50"/>
    <w:rsid w:val="00BB77E7"/>
    <w:rsid w:val="00BC0241"/>
    <w:rsid w:val="00BC1971"/>
    <w:rsid w:val="00BC1D7F"/>
    <w:rsid w:val="00BC2D5E"/>
    <w:rsid w:val="00BC34F8"/>
    <w:rsid w:val="00BC413D"/>
    <w:rsid w:val="00BC556C"/>
    <w:rsid w:val="00BC560F"/>
    <w:rsid w:val="00BC5AE1"/>
    <w:rsid w:val="00BC6533"/>
    <w:rsid w:val="00BC6BBD"/>
    <w:rsid w:val="00BC6FD2"/>
    <w:rsid w:val="00BC716D"/>
    <w:rsid w:val="00BC7C8B"/>
    <w:rsid w:val="00BD24D7"/>
    <w:rsid w:val="00BD2CAD"/>
    <w:rsid w:val="00BD32AD"/>
    <w:rsid w:val="00BD3538"/>
    <w:rsid w:val="00BD3604"/>
    <w:rsid w:val="00BD474E"/>
    <w:rsid w:val="00BD55BE"/>
    <w:rsid w:val="00BD590C"/>
    <w:rsid w:val="00BD5F70"/>
    <w:rsid w:val="00BE0460"/>
    <w:rsid w:val="00BE0B87"/>
    <w:rsid w:val="00BE0CF8"/>
    <w:rsid w:val="00BE1123"/>
    <w:rsid w:val="00BE20C3"/>
    <w:rsid w:val="00BE2624"/>
    <w:rsid w:val="00BE52DF"/>
    <w:rsid w:val="00BE64EB"/>
    <w:rsid w:val="00BE69D9"/>
    <w:rsid w:val="00BE6B71"/>
    <w:rsid w:val="00BF0550"/>
    <w:rsid w:val="00BF0C97"/>
    <w:rsid w:val="00BF234F"/>
    <w:rsid w:val="00BF51AD"/>
    <w:rsid w:val="00BF58C4"/>
    <w:rsid w:val="00BF5B1E"/>
    <w:rsid w:val="00BF5B47"/>
    <w:rsid w:val="00BF5FBE"/>
    <w:rsid w:val="00C00DFE"/>
    <w:rsid w:val="00C01587"/>
    <w:rsid w:val="00C016EF"/>
    <w:rsid w:val="00C01BC3"/>
    <w:rsid w:val="00C04D27"/>
    <w:rsid w:val="00C05DB9"/>
    <w:rsid w:val="00C062EE"/>
    <w:rsid w:val="00C07E64"/>
    <w:rsid w:val="00C10C27"/>
    <w:rsid w:val="00C10D49"/>
    <w:rsid w:val="00C10EA3"/>
    <w:rsid w:val="00C11D26"/>
    <w:rsid w:val="00C12329"/>
    <w:rsid w:val="00C12AF1"/>
    <w:rsid w:val="00C1312B"/>
    <w:rsid w:val="00C13590"/>
    <w:rsid w:val="00C15CDA"/>
    <w:rsid w:val="00C16A54"/>
    <w:rsid w:val="00C174FF"/>
    <w:rsid w:val="00C17D6D"/>
    <w:rsid w:val="00C200B8"/>
    <w:rsid w:val="00C20681"/>
    <w:rsid w:val="00C20EE2"/>
    <w:rsid w:val="00C217BE"/>
    <w:rsid w:val="00C24F63"/>
    <w:rsid w:val="00C261E9"/>
    <w:rsid w:val="00C27278"/>
    <w:rsid w:val="00C307E3"/>
    <w:rsid w:val="00C316F6"/>
    <w:rsid w:val="00C32D73"/>
    <w:rsid w:val="00C33DCE"/>
    <w:rsid w:val="00C34B71"/>
    <w:rsid w:val="00C34F72"/>
    <w:rsid w:val="00C362CC"/>
    <w:rsid w:val="00C362F2"/>
    <w:rsid w:val="00C364A3"/>
    <w:rsid w:val="00C3732B"/>
    <w:rsid w:val="00C376A7"/>
    <w:rsid w:val="00C407AC"/>
    <w:rsid w:val="00C407F5"/>
    <w:rsid w:val="00C41480"/>
    <w:rsid w:val="00C42EA3"/>
    <w:rsid w:val="00C43E05"/>
    <w:rsid w:val="00C45792"/>
    <w:rsid w:val="00C46168"/>
    <w:rsid w:val="00C51762"/>
    <w:rsid w:val="00C519F4"/>
    <w:rsid w:val="00C5212F"/>
    <w:rsid w:val="00C5258B"/>
    <w:rsid w:val="00C54556"/>
    <w:rsid w:val="00C55EFD"/>
    <w:rsid w:val="00C57B20"/>
    <w:rsid w:val="00C6090A"/>
    <w:rsid w:val="00C62F57"/>
    <w:rsid w:val="00C646D0"/>
    <w:rsid w:val="00C67195"/>
    <w:rsid w:val="00C67DD9"/>
    <w:rsid w:val="00C67DEC"/>
    <w:rsid w:val="00C72DBA"/>
    <w:rsid w:val="00C76191"/>
    <w:rsid w:val="00C76AA5"/>
    <w:rsid w:val="00C76E1F"/>
    <w:rsid w:val="00C811C2"/>
    <w:rsid w:val="00C82745"/>
    <w:rsid w:val="00C84539"/>
    <w:rsid w:val="00C85175"/>
    <w:rsid w:val="00C852E3"/>
    <w:rsid w:val="00C8576A"/>
    <w:rsid w:val="00C87592"/>
    <w:rsid w:val="00C90500"/>
    <w:rsid w:val="00C918B0"/>
    <w:rsid w:val="00C9195B"/>
    <w:rsid w:val="00C93888"/>
    <w:rsid w:val="00C946C4"/>
    <w:rsid w:val="00C956B1"/>
    <w:rsid w:val="00C97B64"/>
    <w:rsid w:val="00CA2943"/>
    <w:rsid w:val="00CA2A9A"/>
    <w:rsid w:val="00CA39EF"/>
    <w:rsid w:val="00CA40ED"/>
    <w:rsid w:val="00CA48C4"/>
    <w:rsid w:val="00CA59DD"/>
    <w:rsid w:val="00CA62CD"/>
    <w:rsid w:val="00CA6A0D"/>
    <w:rsid w:val="00CB10F6"/>
    <w:rsid w:val="00CB1426"/>
    <w:rsid w:val="00CB1B4B"/>
    <w:rsid w:val="00CB25F3"/>
    <w:rsid w:val="00CB5A8F"/>
    <w:rsid w:val="00CB5CD5"/>
    <w:rsid w:val="00CB65D5"/>
    <w:rsid w:val="00CC04DD"/>
    <w:rsid w:val="00CC3B90"/>
    <w:rsid w:val="00CC3C16"/>
    <w:rsid w:val="00CC3DBC"/>
    <w:rsid w:val="00CC3F35"/>
    <w:rsid w:val="00CC40A5"/>
    <w:rsid w:val="00CC6588"/>
    <w:rsid w:val="00CC6752"/>
    <w:rsid w:val="00CC7422"/>
    <w:rsid w:val="00CC7668"/>
    <w:rsid w:val="00CD2744"/>
    <w:rsid w:val="00CD37C2"/>
    <w:rsid w:val="00CD4125"/>
    <w:rsid w:val="00CD4857"/>
    <w:rsid w:val="00CD4C5A"/>
    <w:rsid w:val="00CD595F"/>
    <w:rsid w:val="00CE1A67"/>
    <w:rsid w:val="00CE2207"/>
    <w:rsid w:val="00CE3D80"/>
    <w:rsid w:val="00CE51EA"/>
    <w:rsid w:val="00CE6009"/>
    <w:rsid w:val="00CE6F61"/>
    <w:rsid w:val="00CE789B"/>
    <w:rsid w:val="00CE7C41"/>
    <w:rsid w:val="00CF002B"/>
    <w:rsid w:val="00CF0180"/>
    <w:rsid w:val="00CF0DBE"/>
    <w:rsid w:val="00CF331D"/>
    <w:rsid w:val="00CF4953"/>
    <w:rsid w:val="00CF51AE"/>
    <w:rsid w:val="00CF635A"/>
    <w:rsid w:val="00CF6EF6"/>
    <w:rsid w:val="00CF7047"/>
    <w:rsid w:val="00CF799A"/>
    <w:rsid w:val="00D000E9"/>
    <w:rsid w:val="00D00A26"/>
    <w:rsid w:val="00D0160D"/>
    <w:rsid w:val="00D016B0"/>
    <w:rsid w:val="00D01769"/>
    <w:rsid w:val="00D02831"/>
    <w:rsid w:val="00D03BD9"/>
    <w:rsid w:val="00D03F01"/>
    <w:rsid w:val="00D0466F"/>
    <w:rsid w:val="00D0576E"/>
    <w:rsid w:val="00D05B3B"/>
    <w:rsid w:val="00D0612E"/>
    <w:rsid w:val="00D0627B"/>
    <w:rsid w:val="00D0645D"/>
    <w:rsid w:val="00D06E8F"/>
    <w:rsid w:val="00D071F3"/>
    <w:rsid w:val="00D07452"/>
    <w:rsid w:val="00D111D9"/>
    <w:rsid w:val="00D113C2"/>
    <w:rsid w:val="00D13ADD"/>
    <w:rsid w:val="00D142BF"/>
    <w:rsid w:val="00D153E1"/>
    <w:rsid w:val="00D16128"/>
    <w:rsid w:val="00D176CA"/>
    <w:rsid w:val="00D2058D"/>
    <w:rsid w:val="00D20D2F"/>
    <w:rsid w:val="00D21CDD"/>
    <w:rsid w:val="00D23048"/>
    <w:rsid w:val="00D23355"/>
    <w:rsid w:val="00D23C92"/>
    <w:rsid w:val="00D23F67"/>
    <w:rsid w:val="00D24BE2"/>
    <w:rsid w:val="00D24F44"/>
    <w:rsid w:val="00D25FC5"/>
    <w:rsid w:val="00D261BB"/>
    <w:rsid w:val="00D26B8F"/>
    <w:rsid w:val="00D2719B"/>
    <w:rsid w:val="00D27B49"/>
    <w:rsid w:val="00D30020"/>
    <w:rsid w:val="00D32025"/>
    <w:rsid w:val="00D3234E"/>
    <w:rsid w:val="00D37B05"/>
    <w:rsid w:val="00D41374"/>
    <w:rsid w:val="00D42EE5"/>
    <w:rsid w:val="00D445FE"/>
    <w:rsid w:val="00D44972"/>
    <w:rsid w:val="00D44D45"/>
    <w:rsid w:val="00D4551F"/>
    <w:rsid w:val="00D45C69"/>
    <w:rsid w:val="00D468FC"/>
    <w:rsid w:val="00D47259"/>
    <w:rsid w:val="00D472FC"/>
    <w:rsid w:val="00D47FBE"/>
    <w:rsid w:val="00D52BA1"/>
    <w:rsid w:val="00D534F6"/>
    <w:rsid w:val="00D53969"/>
    <w:rsid w:val="00D53D91"/>
    <w:rsid w:val="00D547F4"/>
    <w:rsid w:val="00D54A45"/>
    <w:rsid w:val="00D609DD"/>
    <w:rsid w:val="00D613DF"/>
    <w:rsid w:val="00D615EF"/>
    <w:rsid w:val="00D65686"/>
    <w:rsid w:val="00D65725"/>
    <w:rsid w:val="00D65C20"/>
    <w:rsid w:val="00D664BD"/>
    <w:rsid w:val="00D66FFE"/>
    <w:rsid w:val="00D679F4"/>
    <w:rsid w:val="00D70FA3"/>
    <w:rsid w:val="00D7435E"/>
    <w:rsid w:val="00D74A6C"/>
    <w:rsid w:val="00D75214"/>
    <w:rsid w:val="00D75B31"/>
    <w:rsid w:val="00D75B3E"/>
    <w:rsid w:val="00D80330"/>
    <w:rsid w:val="00D808C1"/>
    <w:rsid w:val="00D82814"/>
    <w:rsid w:val="00D82DE2"/>
    <w:rsid w:val="00D837C0"/>
    <w:rsid w:val="00D83990"/>
    <w:rsid w:val="00D84332"/>
    <w:rsid w:val="00D87189"/>
    <w:rsid w:val="00D915D8"/>
    <w:rsid w:val="00D91FDB"/>
    <w:rsid w:val="00D9215C"/>
    <w:rsid w:val="00D94022"/>
    <w:rsid w:val="00D94A8D"/>
    <w:rsid w:val="00D94C65"/>
    <w:rsid w:val="00D95D4B"/>
    <w:rsid w:val="00D96CD2"/>
    <w:rsid w:val="00D96EB0"/>
    <w:rsid w:val="00D975C1"/>
    <w:rsid w:val="00D97602"/>
    <w:rsid w:val="00D97E72"/>
    <w:rsid w:val="00DA2470"/>
    <w:rsid w:val="00DA2BE9"/>
    <w:rsid w:val="00DA3BDF"/>
    <w:rsid w:val="00DA3CB7"/>
    <w:rsid w:val="00DA563B"/>
    <w:rsid w:val="00DA5FD3"/>
    <w:rsid w:val="00DA73ED"/>
    <w:rsid w:val="00DB033B"/>
    <w:rsid w:val="00DB060F"/>
    <w:rsid w:val="00DB0DD4"/>
    <w:rsid w:val="00DB1BE1"/>
    <w:rsid w:val="00DB390A"/>
    <w:rsid w:val="00DB4515"/>
    <w:rsid w:val="00DB55C9"/>
    <w:rsid w:val="00DB6A38"/>
    <w:rsid w:val="00DB7E32"/>
    <w:rsid w:val="00DB7F38"/>
    <w:rsid w:val="00DC078E"/>
    <w:rsid w:val="00DC0B94"/>
    <w:rsid w:val="00DC19C7"/>
    <w:rsid w:val="00DC2673"/>
    <w:rsid w:val="00DC2779"/>
    <w:rsid w:val="00DC2DEF"/>
    <w:rsid w:val="00DC40AF"/>
    <w:rsid w:val="00DC4D7A"/>
    <w:rsid w:val="00DC50E5"/>
    <w:rsid w:val="00DC5361"/>
    <w:rsid w:val="00DC64A4"/>
    <w:rsid w:val="00DD1387"/>
    <w:rsid w:val="00DD274C"/>
    <w:rsid w:val="00DD32EB"/>
    <w:rsid w:val="00DD3E37"/>
    <w:rsid w:val="00DD3EE9"/>
    <w:rsid w:val="00DD45A4"/>
    <w:rsid w:val="00DD4BD0"/>
    <w:rsid w:val="00DD5D00"/>
    <w:rsid w:val="00DD6ABA"/>
    <w:rsid w:val="00DD7A28"/>
    <w:rsid w:val="00DE08EC"/>
    <w:rsid w:val="00DE1CFE"/>
    <w:rsid w:val="00DE34AD"/>
    <w:rsid w:val="00DE3A6D"/>
    <w:rsid w:val="00DE585C"/>
    <w:rsid w:val="00DE6C50"/>
    <w:rsid w:val="00DE6E49"/>
    <w:rsid w:val="00DE7972"/>
    <w:rsid w:val="00DF18DC"/>
    <w:rsid w:val="00DF1A87"/>
    <w:rsid w:val="00DF3B1B"/>
    <w:rsid w:val="00DF427D"/>
    <w:rsid w:val="00DF57B6"/>
    <w:rsid w:val="00DF6908"/>
    <w:rsid w:val="00DF6E70"/>
    <w:rsid w:val="00E015C6"/>
    <w:rsid w:val="00E01A85"/>
    <w:rsid w:val="00E01FBA"/>
    <w:rsid w:val="00E03092"/>
    <w:rsid w:val="00E039BE"/>
    <w:rsid w:val="00E04000"/>
    <w:rsid w:val="00E0408E"/>
    <w:rsid w:val="00E04E02"/>
    <w:rsid w:val="00E04F3E"/>
    <w:rsid w:val="00E0502A"/>
    <w:rsid w:val="00E05735"/>
    <w:rsid w:val="00E05BD7"/>
    <w:rsid w:val="00E1089E"/>
    <w:rsid w:val="00E11216"/>
    <w:rsid w:val="00E118BF"/>
    <w:rsid w:val="00E11D6B"/>
    <w:rsid w:val="00E129F6"/>
    <w:rsid w:val="00E132DC"/>
    <w:rsid w:val="00E13325"/>
    <w:rsid w:val="00E147DD"/>
    <w:rsid w:val="00E14BB6"/>
    <w:rsid w:val="00E15144"/>
    <w:rsid w:val="00E15507"/>
    <w:rsid w:val="00E15AE9"/>
    <w:rsid w:val="00E16055"/>
    <w:rsid w:val="00E161E0"/>
    <w:rsid w:val="00E16FA1"/>
    <w:rsid w:val="00E17CC5"/>
    <w:rsid w:val="00E21079"/>
    <w:rsid w:val="00E22870"/>
    <w:rsid w:val="00E23164"/>
    <w:rsid w:val="00E2360D"/>
    <w:rsid w:val="00E267D2"/>
    <w:rsid w:val="00E26B10"/>
    <w:rsid w:val="00E27DBD"/>
    <w:rsid w:val="00E30DC9"/>
    <w:rsid w:val="00E30F2F"/>
    <w:rsid w:val="00E312FE"/>
    <w:rsid w:val="00E3225F"/>
    <w:rsid w:val="00E33E1A"/>
    <w:rsid w:val="00E34513"/>
    <w:rsid w:val="00E34554"/>
    <w:rsid w:val="00E34AC9"/>
    <w:rsid w:val="00E352ED"/>
    <w:rsid w:val="00E37649"/>
    <w:rsid w:val="00E406EB"/>
    <w:rsid w:val="00E418B4"/>
    <w:rsid w:val="00E440C2"/>
    <w:rsid w:val="00E44D26"/>
    <w:rsid w:val="00E4515A"/>
    <w:rsid w:val="00E47567"/>
    <w:rsid w:val="00E5033E"/>
    <w:rsid w:val="00E50663"/>
    <w:rsid w:val="00E52244"/>
    <w:rsid w:val="00E54CAC"/>
    <w:rsid w:val="00E54E10"/>
    <w:rsid w:val="00E565E5"/>
    <w:rsid w:val="00E636E8"/>
    <w:rsid w:val="00E63AAB"/>
    <w:rsid w:val="00E64278"/>
    <w:rsid w:val="00E6580F"/>
    <w:rsid w:val="00E65B27"/>
    <w:rsid w:val="00E66D62"/>
    <w:rsid w:val="00E6753B"/>
    <w:rsid w:val="00E67A8B"/>
    <w:rsid w:val="00E67CD1"/>
    <w:rsid w:val="00E70BC4"/>
    <w:rsid w:val="00E71159"/>
    <w:rsid w:val="00E71492"/>
    <w:rsid w:val="00E71B88"/>
    <w:rsid w:val="00E72023"/>
    <w:rsid w:val="00E72FBB"/>
    <w:rsid w:val="00E73D50"/>
    <w:rsid w:val="00E74F0A"/>
    <w:rsid w:val="00E754D6"/>
    <w:rsid w:val="00E80B60"/>
    <w:rsid w:val="00E81606"/>
    <w:rsid w:val="00E81E9D"/>
    <w:rsid w:val="00E82390"/>
    <w:rsid w:val="00E82DBC"/>
    <w:rsid w:val="00E84F54"/>
    <w:rsid w:val="00E85A0E"/>
    <w:rsid w:val="00E85D91"/>
    <w:rsid w:val="00E863F6"/>
    <w:rsid w:val="00E86A7B"/>
    <w:rsid w:val="00E878BF"/>
    <w:rsid w:val="00E87C3F"/>
    <w:rsid w:val="00E906BB"/>
    <w:rsid w:val="00E90E16"/>
    <w:rsid w:val="00E93FEA"/>
    <w:rsid w:val="00E9511A"/>
    <w:rsid w:val="00E95884"/>
    <w:rsid w:val="00EA0048"/>
    <w:rsid w:val="00EA0DF7"/>
    <w:rsid w:val="00EA1141"/>
    <w:rsid w:val="00EA383A"/>
    <w:rsid w:val="00EA4FF6"/>
    <w:rsid w:val="00EA5087"/>
    <w:rsid w:val="00EA5114"/>
    <w:rsid w:val="00EA5BBD"/>
    <w:rsid w:val="00EA6732"/>
    <w:rsid w:val="00EA6AB7"/>
    <w:rsid w:val="00EB1CF7"/>
    <w:rsid w:val="00EB2766"/>
    <w:rsid w:val="00EB2CB2"/>
    <w:rsid w:val="00EB40B1"/>
    <w:rsid w:val="00EB47BC"/>
    <w:rsid w:val="00EB5276"/>
    <w:rsid w:val="00EB5C7A"/>
    <w:rsid w:val="00EB5DE1"/>
    <w:rsid w:val="00EB75A1"/>
    <w:rsid w:val="00EB7FA6"/>
    <w:rsid w:val="00EC02DC"/>
    <w:rsid w:val="00EC083C"/>
    <w:rsid w:val="00EC2421"/>
    <w:rsid w:val="00EC411D"/>
    <w:rsid w:val="00EC52D0"/>
    <w:rsid w:val="00EC5611"/>
    <w:rsid w:val="00EC5BA4"/>
    <w:rsid w:val="00EC695C"/>
    <w:rsid w:val="00EC75F6"/>
    <w:rsid w:val="00EC796C"/>
    <w:rsid w:val="00EC7A7F"/>
    <w:rsid w:val="00EC7D86"/>
    <w:rsid w:val="00ED01E1"/>
    <w:rsid w:val="00ED02C1"/>
    <w:rsid w:val="00ED0F8C"/>
    <w:rsid w:val="00ED19FE"/>
    <w:rsid w:val="00ED26F0"/>
    <w:rsid w:val="00ED2DF9"/>
    <w:rsid w:val="00ED2E0A"/>
    <w:rsid w:val="00ED3119"/>
    <w:rsid w:val="00ED3BB6"/>
    <w:rsid w:val="00ED3EB2"/>
    <w:rsid w:val="00ED533A"/>
    <w:rsid w:val="00ED5D62"/>
    <w:rsid w:val="00ED63BE"/>
    <w:rsid w:val="00ED6DC0"/>
    <w:rsid w:val="00ED6F56"/>
    <w:rsid w:val="00EE0344"/>
    <w:rsid w:val="00EE114B"/>
    <w:rsid w:val="00EE1D68"/>
    <w:rsid w:val="00EE526F"/>
    <w:rsid w:val="00EE6471"/>
    <w:rsid w:val="00EE7CF2"/>
    <w:rsid w:val="00EF1A60"/>
    <w:rsid w:val="00EF1B4D"/>
    <w:rsid w:val="00EF26C3"/>
    <w:rsid w:val="00EF2EE0"/>
    <w:rsid w:val="00EF39D4"/>
    <w:rsid w:val="00EF47CD"/>
    <w:rsid w:val="00EF568B"/>
    <w:rsid w:val="00EF5A0B"/>
    <w:rsid w:val="00EF6021"/>
    <w:rsid w:val="00EF6FEA"/>
    <w:rsid w:val="00EF78C0"/>
    <w:rsid w:val="00F013B6"/>
    <w:rsid w:val="00F01F87"/>
    <w:rsid w:val="00F02985"/>
    <w:rsid w:val="00F0346A"/>
    <w:rsid w:val="00F03F6A"/>
    <w:rsid w:val="00F04417"/>
    <w:rsid w:val="00F06064"/>
    <w:rsid w:val="00F06D7F"/>
    <w:rsid w:val="00F06EDB"/>
    <w:rsid w:val="00F070DD"/>
    <w:rsid w:val="00F10F03"/>
    <w:rsid w:val="00F11EAC"/>
    <w:rsid w:val="00F120D3"/>
    <w:rsid w:val="00F12C34"/>
    <w:rsid w:val="00F134C7"/>
    <w:rsid w:val="00F1388D"/>
    <w:rsid w:val="00F14073"/>
    <w:rsid w:val="00F146CD"/>
    <w:rsid w:val="00F15F14"/>
    <w:rsid w:val="00F1623D"/>
    <w:rsid w:val="00F178F1"/>
    <w:rsid w:val="00F21554"/>
    <w:rsid w:val="00F21C13"/>
    <w:rsid w:val="00F21F29"/>
    <w:rsid w:val="00F22632"/>
    <w:rsid w:val="00F22A68"/>
    <w:rsid w:val="00F24209"/>
    <w:rsid w:val="00F2446F"/>
    <w:rsid w:val="00F2545A"/>
    <w:rsid w:val="00F25D8C"/>
    <w:rsid w:val="00F263A7"/>
    <w:rsid w:val="00F277EE"/>
    <w:rsid w:val="00F31DFC"/>
    <w:rsid w:val="00F32C69"/>
    <w:rsid w:val="00F34B71"/>
    <w:rsid w:val="00F35C0F"/>
    <w:rsid w:val="00F37FD6"/>
    <w:rsid w:val="00F4022D"/>
    <w:rsid w:val="00F411B6"/>
    <w:rsid w:val="00F41F97"/>
    <w:rsid w:val="00F42967"/>
    <w:rsid w:val="00F43AF1"/>
    <w:rsid w:val="00F443CD"/>
    <w:rsid w:val="00F44870"/>
    <w:rsid w:val="00F45D10"/>
    <w:rsid w:val="00F460E3"/>
    <w:rsid w:val="00F464F8"/>
    <w:rsid w:val="00F46F52"/>
    <w:rsid w:val="00F47567"/>
    <w:rsid w:val="00F51B7D"/>
    <w:rsid w:val="00F51C98"/>
    <w:rsid w:val="00F527B6"/>
    <w:rsid w:val="00F52AB0"/>
    <w:rsid w:val="00F52B97"/>
    <w:rsid w:val="00F534DD"/>
    <w:rsid w:val="00F548A8"/>
    <w:rsid w:val="00F55566"/>
    <w:rsid w:val="00F5787F"/>
    <w:rsid w:val="00F57F73"/>
    <w:rsid w:val="00F604C7"/>
    <w:rsid w:val="00F60BCF"/>
    <w:rsid w:val="00F61015"/>
    <w:rsid w:val="00F625E5"/>
    <w:rsid w:val="00F63CCF"/>
    <w:rsid w:val="00F6439B"/>
    <w:rsid w:val="00F64821"/>
    <w:rsid w:val="00F64E5A"/>
    <w:rsid w:val="00F650F2"/>
    <w:rsid w:val="00F660AF"/>
    <w:rsid w:val="00F667FA"/>
    <w:rsid w:val="00F66B46"/>
    <w:rsid w:val="00F706B8"/>
    <w:rsid w:val="00F7301A"/>
    <w:rsid w:val="00F73CFE"/>
    <w:rsid w:val="00F75EC7"/>
    <w:rsid w:val="00F76750"/>
    <w:rsid w:val="00F77FD8"/>
    <w:rsid w:val="00F80750"/>
    <w:rsid w:val="00F81D93"/>
    <w:rsid w:val="00F828D1"/>
    <w:rsid w:val="00F83839"/>
    <w:rsid w:val="00F85066"/>
    <w:rsid w:val="00F85CCA"/>
    <w:rsid w:val="00F86766"/>
    <w:rsid w:val="00F86E71"/>
    <w:rsid w:val="00F87042"/>
    <w:rsid w:val="00F8720E"/>
    <w:rsid w:val="00F8767A"/>
    <w:rsid w:val="00F87F3E"/>
    <w:rsid w:val="00F90325"/>
    <w:rsid w:val="00F9188D"/>
    <w:rsid w:val="00F91BA2"/>
    <w:rsid w:val="00F924A0"/>
    <w:rsid w:val="00F92772"/>
    <w:rsid w:val="00F933B2"/>
    <w:rsid w:val="00FA0713"/>
    <w:rsid w:val="00FA0A2F"/>
    <w:rsid w:val="00FA0BE1"/>
    <w:rsid w:val="00FA14E2"/>
    <w:rsid w:val="00FA1E69"/>
    <w:rsid w:val="00FA3EF0"/>
    <w:rsid w:val="00FA69EE"/>
    <w:rsid w:val="00FB06FC"/>
    <w:rsid w:val="00FB12B4"/>
    <w:rsid w:val="00FB1433"/>
    <w:rsid w:val="00FB144A"/>
    <w:rsid w:val="00FB182C"/>
    <w:rsid w:val="00FB1D4D"/>
    <w:rsid w:val="00FB239B"/>
    <w:rsid w:val="00FB2530"/>
    <w:rsid w:val="00FB345A"/>
    <w:rsid w:val="00FB35AE"/>
    <w:rsid w:val="00FB3EA2"/>
    <w:rsid w:val="00FB6EAD"/>
    <w:rsid w:val="00FC045F"/>
    <w:rsid w:val="00FC3C20"/>
    <w:rsid w:val="00FC3C4B"/>
    <w:rsid w:val="00FC3E52"/>
    <w:rsid w:val="00FC5932"/>
    <w:rsid w:val="00FC7907"/>
    <w:rsid w:val="00FC7CEB"/>
    <w:rsid w:val="00FD0096"/>
    <w:rsid w:val="00FD36FD"/>
    <w:rsid w:val="00FD3CF0"/>
    <w:rsid w:val="00FD54CD"/>
    <w:rsid w:val="00FD60F1"/>
    <w:rsid w:val="00FD6A58"/>
    <w:rsid w:val="00FE0735"/>
    <w:rsid w:val="00FE0D12"/>
    <w:rsid w:val="00FE0D3C"/>
    <w:rsid w:val="00FE16B9"/>
    <w:rsid w:val="00FE1B5A"/>
    <w:rsid w:val="00FE2070"/>
    <w:rsid w:val="00FE25DB"/>
    <w:rsid w:val="00FE31C7"/>
    <w:rsid w:val="00FE3616"/>
    <w:rsid w:val="00FE6AB4"/>
    <w:rsid w:val="00FE6B39"/>
    <w:rsid w:val="00FE6CFD"/>
    <w:rsid w:val="00FE7283"/>
    <w:rsid w:val="00FF1A04"/>
    <w:rsid w:val="00FF1D0E"/>
    <w:rsid w:val="00FF29CE"/>
    <w:rsid w:val="00FF5379"/>
    <w:rsid w:val="00FF5818"/>
    <w:rsid w:val="00FF5932"/>
    <w:rsid w:val="00FF5E1D"/>
    <w:rsid w:val="00FF6B4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State"/>
  <w:shapeDefaults>
    <o:shapedefaults v:ext="edit" spidmax="2050"/>
    <o:shapelayout v:ext="edit">
      <o:idmap v:ext="edit" data="2"/>
    </o:shapelayout>
  </w:shapeDefaults>
  <w:decimalSymbol w:val="."/>
  <w:listSeparator w:val=","/>
  <w14:docId w14:val="0BFE710C"/>
  <w15:chartTrackingRefBased/>
  <w15:docId w15:val="{65757B41-BC10-4EDE-B9E4-911C8AF90E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lsdException w:name="heading 1" w:uiPriority="9"/>
    <w:lsdException w:name="heading 2" w:semiHidden="1" w:uiPriority="0" w:unhideWhenUsed="1"/>
    <w:lsdException w:name="heading 3" w:semiHidden="1" w:uiPriority="0" w:unhideWhenUsed="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462E6B"/>
    <w:pPr>
      <w:spacing w:after="0" w:line="240" w:lineRule="auto"/>
    </w:pPr>
    <w:rPr>
      <w:rFonts w:ascii="Times New Roman" w:eastAsia="Times New Roman" w:hAnsi="Times New Roman" w:cs="Times New Roman"/>
      <w:sz w:val="20"/>
      <w:szCs w:val="20"/>
    </w:rPr>
  </w:style>
  <w:style w:type="paragraph" w:styleId="Heading1">
    <w:name w:val="heading 1"/>
    <w:basedOn w:val="Normal"/>
    <w:next w:val="BodyText"/>
    <w:link w:val="Heading1Char"/>
    <w:uiPriority w:val="9"/>
    <w:rsid w:val="0020542C"/>
    <w:pPr>
      <w:keepNext/>
      <w:keepLines/>
      <w:spacing w:before="240" w:after="120"/>
      <w:jc w:val="center"/>
      <w:outlineLvl w:val="0"/>
    </w:pPr>
    <w:rPr>
      <w:rFonts w:eastAsiaTheme="majorEastAsia" w:cstheme="majorBidi"/>
      <w:b/>
      <w:sz w:val="24"/>
      <w:szCs w:val="32"/>
    </w:rPr>
  </w:style>
  <w:style w:type="paragraph" w:styleId="Heading2">
    <w:name w:val="heading 2"/>
    <w:basedOn w:val="Normal"/>
    <w:next w:val="Normal"/>
    <w:link w:val="Heading2Char"/>
    <w:rsid w:val="0020542C"/>
    <w:pPr>
      <w:keepNext/>
      <w:keepLines/>
      <w:numPr>
        <w:ilvl w:val="1"/>
        <w:numId w:val="4"/>
      </w:numPr>
      <w:spacing w:before="120" w:after="120"/>
      <w:jc w:val="center"/>
      <w:outlineLvl w:val="1"/>
    </w:pPr>
    <w:rPr>
      <w:rFonts w:eastAsiaTheme="majorEastAsia" w:cstheme="majorBidi"/>
      <w:b/>
      <w:sz w:val="24"/>
      <w:szCs w:val="26"/>
    </w:rPr>
  </w:style>
  <w:style w:type="paragraph" w:styleId="Heading3">
    <w:name w:val="heading 3"/>
    <w:basedOn w:val="Normal"/>
    <w:next w:val="BodyText"/>
    <w:link w:val="Heading3Char"/>
    <w:rsid w:val="0020542C"/>
    <w:pPr>
      <w:keepNext/>
      <w:keepLines/>
      <w:numPr>
        <w:ilvl w:val="2"/>
        <w:numId w:val="4"/>
      </w:numPr>
      <w:spacing w:before="120"/>
      <w:outlineLvl w:val="2"/>
    </w:pPr>
    <w:rPr>
      <w:rFonts w:eastAsiaTheme="majorEastAsia" w:cstheme="majorBidi"/>
      <w:b/>
      <w:sz w:val="24"/>
      <w:szCs w:val="24"/>
    </w:rPr>
  </w:style>
  <w:style w:type="paragraph" w:styleId="Heading4">
    <w:name w:val="heading 4"/>
    <w:basedOn w:val="Normal"/>
    <w:next w:val="BodyText"/>
    <w:link w:val="Heading4Char"/>
    <w:rsid w:val="0020542C"/>
    <w:pPr>
      <w:keepNext/>
      <w:keepLines/>
      <w:numPr>
        <w:ilvl w:val="3"/>
        <w:numId w:val="4"/>
      </w:numPr>
      <w:spacing w:before="120"/>
      <w:outlineLvl w:val="3"/>
    </w:pPr>
    <w:rPr>
      <w:rFonts w:eastAsiaTheme="majorEastAsia" w:cstheme="majorBidi"/>
      <w:b/>
      <w:iCs/>
      <w:sz w:val="24"/>
      <w:szCs w:val="24"/>
    </w:rPr>
  </w:style>
  <w:style w:type="paragraph" w:styleId="Heading5">
    <w:name w:val="heading 5"/>
    <w:basedOn w:val="Normal"/>
    <w:next w:val="BodyText"/>
    <w:link w:val="Heading5Char"/>
    <w:rsid w:val="0020542C"/>
    <w:pPr>
      <w:keepNext/>
      <w:keepLines/>
      <w:numPr>
        <w:ilvl w:val="4"/>
        <w:numId w:val="4"/>
      </w:numPr>
      <w:spacing w:before="120"/>
      <w:outlineLvl w:val="4"/>
    </w:pPr>
    <w:rPr>
      <w:rFonts w:eastAsiaTheme="majorEastAsia" w:cstheme="majorBidi"/>
      <w:b/>
      <w:sz w:val="24"/>
      <w:szCs w:val="24"/>
    </w:rPr>
  </w:style>
  <w:style w:type="paragraph" w:styleId="Heading6">
    <w:name w:val="heading 6"/>
    <w:basedOn w:val="Normal"/>
    <w:next w:val="BodyText"/>
    <w:link w:val="Heading6Char"/>
    <w:rsid w:val="0020542C"/>
    <w:pPr>
      <w:keepNext/>
      <w:keepLines/>
      <w:numPr>
        <w:ilvl w:val="5"/>
        <w:numId w:val="4"/>
      </w:numPr>
      <w:spacing w:before="120"/>
      <w:outlineLvl w:val="5"/>
    </w:pPr>
    <w:rPr>
      <w:rFonts w:eastAsiaTheme="majorEastAsia" w:cstheme="majorBidi"/>
      <w:b/>
      <w:sz w:val="24"/>
      <w:szCs w:val="24"/>
    </w:rPr>
  </w:style>
  <w:style w:type="paragraph" w:styleId="Heading7">
    <w:name w:val="heading 7"/>
    <w:basedOn w:val="Normal"/>
    <w:next w:val="FOFNumbered"/>
    <w:link w:val="Heading7Char"/>
    <w:rsid w:val="0020542C"/>
    <w:pPr>
      <w:keepNext/>
      <w:keepLines/>
      <w:numPr>
        <w:ilvl w:val="6"/>
        <w:numId w:val="4"/>
      </w:numPr>
      <w:spacing w:before="120"/>
      <w:outlineLvl w:val="6"/>
    </w:pPr>
    <w:rPr>
      <w:rFonts w:eastAsiaTheme="majorEastAsia" w:cstheme="majorBidi"/>
      <w:b/>
      <w:i/>
      <w:iCs/>
      <w:sz w:val="24"/>
      <w:szCs w:val="24"/>
      <w:u w:val="single"/>
    </w:rPr>
  </w:style>
  <w:style w:type="paragraph" w:styleId="Heading8">
    <w:name w:val="heading 8"/>
    <w:basedOn w:val="Normal"/>
    <w:next w:val="Heading9"/>
    <w:link w:val="Heading8Char"/>
    <w:rsid w:val="0020542C"/>
    <w:pPr>
      <w:keepNext/>
      <w:keepLines/>
      <w:numPr>
        <w:ilvl w:val="7"/>
        <w:numId w:val="4"/>
      </w:numPr>
      <w:spacing w:before="120"/>
      <w:outlineLvl w:val="7"/>
    </w:pPr>
    <w:rPr>
      <w:rFonts w:eastAsiaTheme="majorEastAsia" w:cstheme="majorBidi"/>
      <w:b/>
      <w:i/>
      <w:sz w:val="24"/>
      <w:szCs w:val="21"/>
      <w:u w:val="single"/>
    </w:rPr>
  </w:style>
  <w:style w:type="paragraph" w:styleId="Heading9">
    <w:name w:val="heading 9"/>
    <w:basedOn w:val="Normal"/>
    <w:next w:val="FOFNumbered"/>
    <w:link w:val="Heading9Char"/>
    <w:rsid w:val="0020542C"/>
    <w:pPr>
      <w:keepNext/>
      <w:keepLines/>
      <w:numPr>
        <w:ilvl w:val="8"/>
        <w:numId w:val="4"/>
      </w:numPr>
      <w:spacing w:before="120"/>
      <w:outlineLvl w:val="8"/>
    </w:pPr>
    <w:rPr>
      <w:rFonts w:eastAsiaTheme="majorEastAsia" w:cstheme="majorBidi"/>
      <w:b/>
      <w:i/>
      <w:iCs/>
      <w:sz w:val="24"/>
      <w:szCs w:val="21"/>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D37B05"/>
    <w:pPr>
      <w:tabs>
        <w:tab w:val="center" w:pos="4320"/>
        <w:tab w:val="right" w:pos="8640"/>
      </w:tabs>
    </w:pPr>
  </w:style>
  <w:style w:type="character" w:customStyle="1" w:styleId="HeaderChar">
    <w:name w:val="Header Char"/>
    <w:basedOn w:val="DefaultParagraphFont"/>
    <w:link w:val="Header"/>
    <w:rsid w:val="00D37B05"/>
    <w:rPr>
      <w:rFonts w:ascii="Times New Roman" w:eastAsia="Times New Roman" w:hAnsi="Times New Roman" w:cs="Times New Roman"/>
      <w:sz w:val="20"/>
      <w:szCs w:val="20"/>
    </w:rPr>
  </w:style>
  <w:style w:type="paragraph" w:styleId="Footer">
    <w:name w:val="footer"/>
    <w:basedOn w:val="Normal"/>
    <w:link w:val="FooterChar"/>
    <w:uiPriority w:val="99"/>
    <w:rsid w:val="00D37B05"/>
    <w:pPr>
      <w:tabs>
        <w:tab w:val="center" w:pos="4320"/>
        <w:tab w:val="right" w:pos="8640"/>
      </w:tabs>
    </w:pPr>
  </w:style>
  <w:style w:type="character" w:customStyle="1" w:styleId="FooterChar">
    <w:name w:val="Footer Char"/>
    <w:basedOn w:val="DefaultParagraphFont"/>
    <w:link w:val="Footer"/>
    <w:uiPriority w:val="99"/>
    <w:rsid w:val="00D37B05"/>
    <w:rPr>
      <w:rFonts w:ascii="Times New Roman" w:eastAsia="Times New Roman" w:hAnsi="Times New Roman" w:cs="Times New Roman"/>
      <w:sz w:val="20"/>
      <w:szCs w:val="20"/>
    </w:rPr>
  </w:style>
  <w:style w:type="paragraph" w:styleId="ListParagraph">
    <w:name w:val="List Paragraph"/>
    <w:basedOn w:val="Normal"/>
    <w:link w:val="ListParagraphChar"/>
    <w:uiPriority w:val="34"/>
    <w:rsid w:val="00D37B05"/>
    <w:pPr>
      <w:spacing w:after="160" w:line="259" w:lineRule="auto"/>
      <w:ind w:left="720"/>
      <w:contextualSpacing/>
    </w:pPr>
    <w:rPr>
      <w:rFonts w:ascii="Calibri" w:eastAsia="Calibri" w:hAnsi="Calibri"/>
      <w:sz w:val="22"/>
      <w:szCs w:val="22"/>
    </w:rPr>
  </w:style>
  <w:style w:type="paragraph" w:styleId="FootnoteText">
    <w:name w:val="footnote text"/>
    <w:aliases w:val="Footnote Text Char2,Footnote Text Char Char,Footnote Text Char2 Char Char,Footnote Text Char Char Char1 Char,Footnote Text Char2 Char Char Char1 Char,Footnote Text Char Char Char1 Char Char Char1,Footnote Text Char2 Cha"/>
    <w:basedOn w:val="Normal"/>
    <w:link w:val="FootnoteTextChar"/>
    <w:uiPriority w:val="99"/>
    <w:unhideWhenUsed/>
    <w:rsid w:val="00864FE0"/>
    <w:pPr>
      <w:ind w:firstLine="720"/>
    </w:pPr>
  </w:style>
  <w:style w:type="character" w:customStyle="1" w:styleId="FootnoteTextChar">
    <w:name w:val="Footnote Text Char"/>
    <w:aliases w:val="Footnote Text Char2 Char,Footnote Text Char Char Char,Footnote Text Char2 Char Char Char,Footnote Text Char Char Char1 Char Char,Footnote Text Char2 Char Char Char1 Char Char,Footnote Text Char Char Char1 Char Char Char1 Char"/>
    <w:basedOn w:val="DefaultParagraphFont"/>
    <w:link w:val="FootnoteText"/>
    <w:uiPriority w:val="99"/>
    <w:rsid w:val="00864FE0"/>
    <w:rPr>
      <w:rFonts w:ascii="Times New Roman" w:eastAsia="Times New Roman" w:hAnsi="Times New Roman" w:cs="Times New Roman"/>
      <w:sz w:val="20"/>
      <w:szCs w:val="20"/>
    </w:rPr>
  </w:style>
  <w:style w:type="character" w:styleId="FootnoteReference">
    <w:name w:val="footnote reference"/>
    <w:aliases w:val="o,fr,Style 3,Style 21,Style 12,Style 24,Style 17,Style 11,Style 28,Style 8,Style 15,Style 9,o1,fr1,o2,fr2,o3,fr3,Style 18,(NECG) Footnote Reference,Style 20,Style 7,Style 19,Style 16,Style 30,HLR Footnote,FR,Appel note de bas de p"/>
    <w:basedOn w:val="DefaultParagraphFont"/>
    <w:uiPriority w:val="99"/>
    <w:unhideWhenUsed/>
    <w:rsid w:val="001B389E"/>
    <w:rPr>
      <w:vertAlign w:val="superscript"/>
    </w:rPr>
  </w:style>
  <w:style w:type="paragraph" w:styleId="BalloonText">
    <w:name w:val="Balloon Text"/>
    <w:basedOn w:val="Normal"/>
    <w:link w:val="BalloonTextChar"/>
    <w:uiPriority w:val="99"/>
    <w:semiHidden/>
    <w:unhideWhenUsed/>
    <w:rsid w:val="00F650F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650F2"/>
    <w:rPr>
      <w:rFonts w:ascii="Segoe UI" w:eastAsia="Times New Roman" w:hAnsi="Segoe UI" w:cs="Segoe UI"/>
      <w:sz w:val="18"/>
      <w:szCs w:val="18"/>
    </w:rPr>
  </w:style>
  <w:style w:type="paragraph" w:customStyle="1" w:styleId="Bullet1">
    <w:name w:val="Bullet 1"/>
    <w:basedOn w:val="BodyText"/>
    <w:link w:val="Bullet1Char"/>
    <w:rsid w:val="00272C17"/>
    <w:pPr>
      <w:numPr>
        <w:numId w:val="1"/>
      </w:numPr>
      <w:spacing w:before="180" w:after="0"/>
      <w:ind w:right="360"/>
      <w:jc w:val="both"/>
    </w:pPr>
    <w:rPr>
      <w:sz w:val="24"/>
    </w:rPr>
  </w:style>
  <w:style w:type="character" w:customStyle="1" w:styleId="Bullet1Char">
    <w:name w:val="Bullet 1 Char"/>
    <w:basedOn w:val="BodyTextChar"/>
    <w:link w:val="Bullet1"/>
    <w:rsid w:val="00272C17"/>
    <w:rPr>
      <w:rFonts w:ascii="Times New Roman" w:eastAsia="Times New Roman" w:hAnsi="Times New Roman" w:cs="Times New Roman"/>
      <w:sz w:val="24"/>
      <w:szCs w:val="20"/>
    </w:rPr>
  </w:style>
  <w:style w:type="paragraph" w:styleId="BodyText">
    <w:name w:val="Body Text"/>
    <w:basedOn w:val="Normal"/>
    <w:link w:val="BodyTextChar"/>
    <w:uiPriority w:val="99"/>
    <w:semiHidden/>
    <w:unhideWhenUsed/>
    <w:rsid w:val="00272C17"/>
    <w:pPr>
      <w:spacing w:after="120"/>
    </w:pPr>
  </w:style>
  <w:style w:type="character" w:customStyle="1" w:styleId="BodyTextChar">
    <w:name w:val="Body Text Char"/>
    <w:basedOn w:val="DefaultParagraphFont"/>
    <w:link w:val="BodyText"/>
    <w:uiPriority w:val="99"/>
    <w:semiHidden/>
    <w:rsid w:val="00272C17"/>
    <w:rPr>
      <w:rFonts w:ascii="Times New Roman" w:eastAsia="Times New Roman" w:hAnsi="Times New Roman" w:cs="Times New Roman"/>
      <w:sz w:val="20"/>
      <w:szCs w:val="20"/>
    </w:rPr>
  </w:style>
  <w:style w:type="paragraph" w:customStyle="1" w:styleId="IssueHeading">
    <w:name w:val="Issue Heading"/>
    <w:basedOn w:val="ListParagraph"/>
    <w:next w:val="BodyText"/>
    <w:rsid w:val="00007D94"/>
    <w:pPr>
      <w:spacing w:before="240" w:after="0" w:line="240" w:lineRule="auto"/>
      <w:ind w:left="1440" w:hanging="1440"/>
      <w:jc w:val="both"/>
    </w:pPr>
    <w:rPr>
      <w:rFonts w:ascii="Times New Roman Bold" w:eastAsia="Times New Roman" w:hAnsi="Times New Roman Bold"/>
      <w:b/>
      <w:sz w:val="28"/>
      <w:szCs w:val="28"/>
    </w:rPr>
  </w:style>
  <w:style w:type="paragraph" w:customStyle="1" w:styleId="IssueSubHeading">
    <w:name w:val="Issue Sub Heading"/>
    <w:basedOn w:val="ListParagraph"/>
    <w:next w:val="BodyText"/>
    <w:rsid w:val="00007D94"/>
    <w:pPr>
      <w:spacing w:before="240" w:after="0" w:line="240" w:lineRule="auto"/>
      <w:ind w:left="1872" w:hanging="1872"/>
      <w:contextualSpacing w:val="0"/>
      <w:jc w:val="both"/>
    </w:pPr>
    <w:rPr>
      <w:rFonts w:ascii="Times New Roman Bold" w:eastAsia="Times New Roman" w:hAnsi="Times New Roman Bold"/>
      <w:b/>
      <w:sz w:val="28"/>
      <w:szCs w:val="28"/>
    </w:rPr>
  </w:style>
  <w:style w:type="paragraph" w:customStyle="1" w:styleId="Option">
    <w:name w:val="Option"/>
    <w:basedOn w:val="IssueSubHeading"/>
    <w:rsid w:val="00007D94"/>
    <w:pPr>
      <w:ind w:left="1728" w:hanging="1440"/>
    </w:pPr>
  </w:style>
  <w:style w:type="paragraph" w:customStyle="1" w:styleId="Bullet2">
    <w:name w:val="Bullet 2"/>
    <w:basedOn w:val="Option"/>
    <w:rsid w:val="00007D94"/>
    <w:pPr>
      <w:ind w:left="1368" w:hanging="360"/>
    </w:pPr>
    <w:rPr>
      <w:b w:val="0"/>
    </w:rPr>
  </w:style>
  <w:style w:type="paragraph" w:customStyle="1" w:styleId="Bullet3">
    <w:name w:val="Bullet 3"/>
    <w:basedOn w:val="Bullet2"/>
    <w:rsid w:val="00007D94"/>
    <w:pPr>
      <w:ind w:left="2160"/>
    </w:pPr>
  </w:style>
  <w:style w:type="paragraph" w:styleId="BlockText">
    <w:name w:val="Block Text"/>
    <w:basedOn w:val="Normal"/>
    <w:rsid w:val="009B2467"/>
    <w:pPr>
      <w:ind w:left="1152" w:right="1152"/>
    </w:pPr>
    <w:rPr>
      <w:rFonts w:eastAsiaTheme="minorEastAsia" w:cstheme="minorBidi"/>
      <w:iCs/>
      <w:sz w:val="24"/>
    </w:rPr>
  </w:style>
  <w:style w:type="character" w:styleId="PageNumber">
    <w:name w:val="page number"/>
    <w:basedOn w:val="DefaultParagraphFont"/>
    <w:rsid w:val="00B60758"/>
  </w:style>
  <w:style w:type="paragraph" w:customStyle="1" w:styleId="Options">
    <w:name w:val="Options"/>
    <w:basedOn w:val="Normal"/>
    <w:autoRedefine/>
    <w:rsid w:val="00B60758"/>
    <w:pPr>
      <w:spacing w:before="240"/>
      <w:ind w:left="792" w:hanging="432"/>
      <w:jc w:val="both"/>
    </w:pPr>
    <w:rPr>
      <w:b/>
      <w:sz w:val="24"/>
    </w:rPr>
  </w:style>
  <w:style w:type="paragraph" w:customStyle="1" w:styleId="FOFNumbered">
    <w:name w:val="FOF Numbered"/>
    <w:basedOn w:val="Normal"/>
    <w:link w:val="FOFNumberedChar"/>
    <w:uiPriority w:val="2"/>
    <w:rsid w:val="009F5DF8"/>
    <w:pPr>
      <w:numPr>
        <w:numId w:val="5"/>
      </w:numPr>
      <w:spacing w:before="120" w:line="360" w:lineRule="auto"/>
      <w:jc w:val="both"/>
    </w:pPr>
    <w:rPr>
      <w:snapToGrid w:val="0"/>
      <w:sz w:val="24"/>
    </w:rPr>
  </w:style>
  <w:style w:type="character" w:customStyle="1" w:styleId="FOFNumberedChar">
    <w:name w:val="FOF Numbered Char"/>
    <w:basedOn w:val="DefaultParagraphFont"/>
    <w:link w:val="FOFNumbered"/>
    <w:uiPriority w:val="2"/>
    <w:rsid w:val="009F5DF8"/>
    <w:rPr>
      <w:rFonts w:ascii="Times New Roman" w:eastAsia="Times New Roman" w:hAnsi="Times New Roman" w:cs="Times New Roman"/>
      <w:snapToGrid w:val="0"/>
      <w:sz w:val="24"/>
      <w:szCs w:val="20"/>
    </w:rPr>
  </w:style>
  <w:style w:type="paragraph" w:customStyle="1" w:styleId="OrderingNumbered">
    <w:name w:val="Ordering Numbered"/>
    <w:basedOn w:val="FOFNumbered"/>
    <w:rsid w:val="00460ED6"/>
    <w:pPr>
      <w:numPr>
        <w:numId w:val="0"/>
      </w:numPr>
      <w:tabs>
        <w:tab w:val="num" w:pos="360"/>
      </w:tabs>
    </w:pPr>
  </w:style>
  <w:style w:type="character" w:styleId="CommentReference">
    <w:name w:val="annotation reference"/>
    <w:basedOn w:val="DefaultParagraphFont"/>
    <w:uiPriority w:val="99"/>
    <w:semiHidden/>
    <w:unhideWhenUsed/>
    <w:rsid w:val="00446AC1"/>
    <w:rPr>
      <w:sz w:val="16"/>
      <w:szCs w:val="16"/>
    </w:rPr>
  </w:style>
  <w:style w:type="paragraph" w:styleId="CommentText">
    <w:name w:val="annotation text"/>
    <w:basedOn w:val="Normal"/>
    <w:link w:val="CommentTextChar"/>
    <w:uiPriority w:val="99"/>
    <w:semiHidden/>
    <w:unhideWhenUsed/>
    <w:rsid w:val="00446AC1"/>
  </w:style>
  <w:style w:type="character" w:customStyle="1" w:styleId="CommentTextChar">
    <w:name w:val="Comment Text Char"/>
    <w:basedOn w:val="DefaultParagraphFont"/>
    <w:link w:val="CommentText"/>
    <w:uiPriority w:val="99"/>
    <w:semiHidden/>
    <w:rsid w:val="00446AC1"/>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446AC1"/>
    <w:rPr>
      <w:b/>
      <w:bCs/>
    </w:rPr>
  </w:style>
  <w:style w:type="character" w:customStyle="1" w:styleId="CommentSubjectChar">
    <w:name w:val="Comment Subject Char"/>
    <w:basedOn w:val="CommentTextChar"/>
    <w:link w:val="CommentSubject"/>
    <w:uiPriority w:val="99"/>
    <w:semiHidden/>
    <w:rsid w:val="00446AC1"/>
    <w:rPr>
      <w:rFonts w:ascii="Times New Roman" w:eastAsia="Times New Roman" w:hAnsi="Times New Roman" w:cs="Times New Roman"/>
      <w:b/>
      <w:bCs/>
      <w:sz w:val="20"/>
      <w:szCs w:val="20"/>
    </w:rPr>
  </w:style>
  <w:style w:type="character" w:customStyle="1" w:styleId="ListParagraphChar">
    <w:name w:val="List Paragraph Char"/>
    <w:basedOn w:val="DefaultParagraphFont"/>
    <w:link w:val="ListParagraph"/>
    <w:uiPriority w:val="34"/>
    <w:rsid w:val="00F06064"/>
    <w:rPr>
      <w:rFonts w:ascii="Calibri" w:eastAsia="Calibri" w:hAnsi="Calibri" w:cs="Times New Roman"/>
    </w:rPr>
  </w:style>
  <w:style w:type="character" w:customStyle="1" w:styleId="Heading1Char">
    <w:name w:val="Heading 1 Char"/>
    <w:basedOn w:val="DefaultParagraphFont"/>
    <w:link w:val="Heading1"/>
    <w:uiPriority w:val="9"/>
    <w:rsid w:val="0020542C"/>
    <w:rPr>
      <w:rFonts w:ascii="Times New Roman" w:eastAsiaTheme="majorEastAsia" w:hAnsi="Times New Roman" w:cstheme="majorBidi"/>
      <w:b/>
      <w:sz w:val="24"/>
      <w:szCs w:val="32"/>
    </w:rPr>
  </w:style>
  <w:style w:type="character" w:customStyle="1" w:styleId="Heading2Char">
    <w:name w:val="Heading 2 Char"/>
    <w:basedOn w:val="DefaultParagraphFont"/>
    <w:link w:val="Heading2"/>
    <w:rsid w:val="0020542C"/>
    <w:rPr>
      <w:rFonts w:ascii="Times New Roman" w:eastAsiaTheme="majorEastAsia" w:hAnsi="Times New Roman" w:cstheme="majorBidi"/>
      <w:b/>
      <w:sz w:val="24"/>
      <w:szCs w:val="26"/>
    </w:rPr>
  </w:style>
  <w:style w:type="character" w:customStyle="1" w:styleId="Heading3Char">
    <w:name w:val="Heading 3 Char"/>
    <w:basedOn w:val="DefaultParagraphFont"/>
    <w:link w:val="Heading3"/>
    <w:rsid w:val="0020542C"/>
    <w:rPr>
      <w:rFonts w:ascii="Times New Roman" w:eastAsiaTheme="majorEastAsia" w:hAnsi="Times New Roman" w:cstheme="majorBidi"/>
      <w:b/>
      <w:sz w:val="24"/>
      <w:szCs w:val="24"/>
    </w:rPr>
  </w:style>
  <w:style w:type="character" w:customStyle="1" w:styleId="Heading4Char">
    <w:name w:val="Heading 4 Char"/>
    <w:basedOn w:val="DefaultParagraphFont"/>
    <w:link w:val="Heading4"/>
    <w:rsid w:val="0020542C"/>
    <w:rPr>
      <w:rFonts w:ascii="Times New Roman" w:eastAsiaTheme="majorEastAsia" w:hAnsi="Times New Roman" w:cstheme="majorBidi"/>
      <w:b/>
      <w:iCs/>
      <w:sz w:val="24"/>
      <w:szCs w:val="24"/>
    </w:rPr>
  </w:style>
  <w:style w:type="character" w:customStyle="1" w:styleId="Heading5Char">
    <w:name w:val="Heading 5 Char"/>
    <w:basedOn w:val="DefaultParagraphFont"/>
    <w:link w:val="Heading5"/>
    <w:rsid w:val="0020542C"/>
    <w:rPr>
      <w:rFonts w:ascii="Times New Roman" w:eastAsiaTheme="majorEastAsia" w:hAnsi="Times New Roman" w:cstheme="majorBidi"/>
      <w:b/>
      <w:sz w:val="24"/>
      <w:szCs w:val="24"/>
    </w:rPr>
  </w:style>
  <w:style w:type="character" w:customStyle="1" w:styleId="Heading6Char">
    <w:name w:val="Heading 6 Char"/>
    <w:basedOn w:val="DefaultParagraphFont"/>
    <w:link w:val="Heading6"/>
    <w:rsid w:val="0020542C"/>
    <w:rPr>
      <w:rFonts w:ascii="Times New Roman" w:eastAsiaTheme="majorEastAsia" w:hAnsi="Times New Roman" w:cstheme="majorBidi"/>
      <w:b/>
      <w:sz w:val="24"/>
      <w:szCs w:val="24"/>
    </w:rPr>
  </w:style>
  <w:style w:type="character" w:customStyle="1" w:styleId="Heading7Char">
    <w:name w:val="Heading 7 Char"/>
    <w:basedOn w:val="DefaultParagraphFont"/>
    <w:link w:val="Heading7"/>
    <w:rsid w:val="0020542C"/>
    <w:rPr>
      <w:rFonts w:ascii="Times New Roman" w:eastAsiaTheme="majorEastAsia" w:hAnsi="Times New Roman" w:cstheme="majorBidi"/>
      <w:b/>
      <w:i/>
      <w:iCs/>
      <w:sz w:val="24"/>
      <w:szCs w:val="24"/>
      <w:u w:val="single"/>
    </w:rPr>
  </w:style>
  <w:style w:type="character" w:customStyle="1" w:styleId="Heading8Char">
    <w:name w:val="Heading 8 Char"/>
    <w:basedOn w:val="DefaultParagraphFont"/>
    <w:link w:val="Heading8"/>
    <w:rsid w:val="0020542C"/>
    <w:rPr>
      <w:rFonts w:ascii="Times New Roman" w:eastAsiaTheme="majorEastAsia" w:hAnsi="Times New Roman" w:cstheme="majorBidi"/>
      <w:b/>
      <w:i/>
      <w:sz w:val="24"/>
      <w:szCs w:val="21"/>
      <w:u w:val="single"/>
    </w:rPr>
  </w:style>
  <w:style w:type="character" w:customStyle="1" w:styleId="Heading9Char">
    <w:name w:val="Heading 9 Char"/>
    <w:basedOn w:val="DefaultParagraphFont"/>
    <w:link w:val="Heading9"/>
    <w:rsid w:val="0020542C"/>
    <w:rPr>
      <w:rFonts w:ascii="Times New Roman" w:eastAsiaTheme="majorEastAsia" w:hAnsi="Times New Roman" w:cstheme="majorBidi"/>
      <w:b/>
      <w:i/>
      <w:iCs/>
      <w:sz w:val="24"/>
      <w:szCs w:val="21"/>
      <w:u w:val="single"/>
    </w:rPr>
  </w:style>
  <w:style w:type="paragraph" w:styleId="Revision">
    <w:name w:val="Revision"/>
    <w:hidden/>
    <w:uiPriority w:val="99"/>
    <w:semiHidden/>
    <w:rsid w:val="00833B7F"/>
    <w:pPr>
      <w:spacing w:after="0" w:line="240" w:lineRule="auto"/>
    </w:pPr>
    <w:rPr>
      <w:rFonts w:ascii="Times New Roman" w:eastAsia="Times New Roman" w:hAnsi="Times New Roman" w:cs="Times New Roman"/>
      <w:sz w:val="20"/>
      <w:szCs w:val="20"/>
    </w:rPr>
  </w:style>
  <w:style w:type="character" w:styleId="Hyperlink">
    <w:name w:val="Hyperlink"/>
    <w:basedOn w:val="DefaultParagraphFont"/>
    <w:uiPriority w:val="99"/>
    <w:unhideWhenUsed/>
    <w:rsid w:val="001759A4"/>
    <w:rPr>
      <w:color w:val="0563C1" w:themeColor="hyperlink"/>
      <w:u w:val="single"/>
    </w:rPr>
  </w:style>
  <w:style w:type="character" w:customStyle="1" w:styleId="UnresolvedMention1">
    <w:name w:val="Unresolved Mention1"/>
    <w:basedOn w:val="DefaultParagraphFont"/>
    <w:uiPriority w:val="99"/>
    <w:semiHidden/>
    <w:unhideWhenUsed/>
    <w:rsid w:val="001759A4"/>
    <w:rPr>
      <w:color w:val="605E5C"/>
      <w:shd w:val="clear" w:color="auto" w:fill="E1DFDD"/>
    </w:rPr>
  </w:style>
  <w:style w:type="paragraph" w:customStyle="1" w:styleId="BodyTextA">
    <w:name w:val="Body Text A"/>
    <w:link w:val="BodyTextAChar"/>
    <w:qFormat/>
    <w:rsid w:val="009D1A36"/>
    <w:pPr>
      <w:spacing w:after="120" w:line="240" w:lineRule="auto"/>
      <w:ind w:firstLine="720"/>
      <w:jc w:val="both"/>
    </w:pPr>
    <w:rPr>
      <w:rFonts w:ascii="Times New Roman" w:eastAsia="Times New Roman" w:hAnsi="Times New Roman" w:cs="Times New Roman"/>
      <w:sz w:val="24"/>
      <w:szCs w:val="20"/>
    </w:rPr>
  </w:style>
  <w:style w:type="character" w:customStyle="1" w:styleId="BodyTextAChar">
    <w:name w:val="Body Text A Char"/>
    <w:basedOn w:val="DefaultParagraphFont"/>
    <w:link w:val="BodyTextA"/>
    <w:rsid w:val="009D1A36"/>
    <w:rPr>
      <w:rFonts w:ascii="Times New Roman" w:eastAsia="Times New Roman" w:hAnsi="Times New Roman" w:cs="Times New Roman"/>
      <w:sz w:val="24"/>
      <w:szCs w:val="20"/>
    </w:rPr>
  </w:style>
  <w:style w:type="paragraph" w:customStyle="1" w:styleId="BodyTextB">
    <w:name w:val="Body Text B"/>
    <w:next w:val="BodyTextA"/>
    <w:link w:val="BodyTextBChar"/>
    <w:qFormat/>
    <w:rsid w:val="00E863F6"/>
    <w:pPr>
      <w:spacing w:after="120" w:line="240" w:lineRule="auto"/>
      <w:jc w:val="both"/>
    </w:pPr>
    <w:rPr>
      <w:rFonts w:ascii="Times New Roman" w:eastAsia="Calibri" w:hAnsi="Times New Roman" w:cs="Times New Roman"/>
      <w:sz w:val="24"/>
      <w:szCs w:val="24"/>
    </w:rPr>
  </w:style>
  <w:style w:type="character" w:customStyle="1" w:styleId="BodyTextBChar">
    <w:name w:val="Body Text B Char"/>
    <w:basedOn w:val="DefaultParagraphFont"/>
    <w:link w:val="BodyTextB"/>
    <w:rsid w:val="00E863F6"/>
    <w:rPr>
      <w:rFonts w:ascii="Times New Roman" w:eastAsia="Calibri" w:hAnsi="Times New Roman" w:cs="Times New Roman"/>
      <w:sz w:val="24"/>
      <w:szCs w:val="24"/>
    </w:rPr>
  </w:style>
  <w:style w:type="paragraph" w:customStyle="1" w:styleId="BlockTextA">
    <w:name w:val="Block Text A"/>
    <w:basedOn w:val="Normal"/>
    <w:next w:val="BodyTextA"/>
    <w:link w:val="BlockTextAChar"/>
    <w:qFormat/>
    <w:rsid w:val="001C3A5A"/>
    <w:pPr>
      <w:spacing w:before="240" w:after="240"/>
      <w:ind w:left="720" w:right="720"/>
      <w:jc w:val="both"/>
    </w:pPr>
    <w:rPr>
      <w:iCs/>
      <w:sz w:val="24"/>
      <w:szCs w:val="24"/>
    </w:rPr>
  </w:style>
  <w:style w:type="character" w:customStyle="1" w:styleId="BlockTextAChar">
    <w:name w:val="Block Text A Char"/>
    <w:basedOn w:val="DefaultParagraphFont"/>
    <w:link w:val="BlockTextA"/>
    <w:rsid w:val="001C3A5A"/>
    <w:rPr>
      <w:rFonts w:ascii="Times New Roman" w:eastAsia="Times New Roman" w:hAnsi="Times New Roman" w:cs="Times New Roman"/>
      <w:iCs/>
      <w:sz w:val="24"/>
      <w:szCs w:val="24"/>
    </w:rPr>
  </w:style>
  <w:style w:type="paragraph" w:customStyle="1" w:styleId="FOFCOLOP">
    <w:name w:val="FOF/COL/OP"/>
    <w:basedOn w:val="FOFNumbered"/>
    <w:link w:val="FOFCOLOPChar"/>
    <w:rsid w:val="00FE6B39"/>
    <w:pPr>
      <w:numPr>
        <w:numId w:val="0"/>
      </w:numPr>
      <w:spacing w:before="240" w:after="240" w:line="240" w:lineRule="auto"/>
      <w:ind w:left="1440" w:hanging="720"/>
    </w:pPr>
  </w:style>
  <w:style w:type="paragraph" w:customStyle="1" w:styleId="Footnote">
    <w:name w:val="Footnote"/>
    <w:basedOn w:val="FOFNumbered"/>
    <w:link w:val="FootnoteChar"/>
    <w:qFormat/>
    <w:rsid w:val="0075387D"/>
    <w:pPr>
      <w:numPr>
        <w:numId w:val="0"/>
      </w:numPr>
      <w:spacing w:before="0" w:after="240" w:line="240" w:lineRule="auto"/>
      <w:ind w:left="720" w:right="720" w:firstLine="720"/>
    </w:pPr>
    <w:rPr>
      <w:sz w:val="20"/>
    </w:rPr>
  </w:style>
  <w:style w:type="character" w:customStyle="1" w:styleId="FOFCOLOPChar">
    <w:name w:val="FOF/COL/OP Char"/>
    <w:basedOn w:val="FOFNumberedChar"/>
    <w:link w:val="FOFCOLOP"/>
    <w:rsid w:val="00FE6B39"/>
    <w:rPr>
      <w:rFonts w:ascii="Times New Roman" w:eastAsia="Times New Roman" w:hAnsi="Times New Roman" w:cs="Times New Roman"/>
      <w:snapToGrid w:val="0"/>
      <w:sz w:val="24"/>
      <w:szCs w:val="20"/>
    </w:rPr>
  </w:style>
  <w:style w:type="paragraph" w:customStyle="1" w:styleId="Subpart">
    <w:name w:val="Subpart"/>
    <w:basedOn w:val="FOFNumbered"/>
    <w:link w:val="SubpartChar"/>
    <w:qFormat/>
    <w:rsid w:val="009419EF"/>
    <w:pPr>
      <w:numPr>
        <w:numId w:val="0"/>
      </w:numPr>
      <w:spacing w:before="0" w:after="240" w:line="240" w:lineRule="auto"/>
      <w:ind w:left="2160" w:right="720" w:hanging="720"/>
    </w:pPr>
  </w:style>
  <w:style w:type="character" w:customStyle="1" w:styleId="FootnoteChar">
    <w:name w:val="Footnote Char"/>
    <w:basedOn w:val="FOFNumberedChar"/>
    <w:link w:val="Footnote"/>
    <w:rsid w:val="0075387D"/>
    <w:rPr>
      <w:rFonts w:ascii="Times New Roman" w:eastAsia="Times New Roman" w:hAnsi="Times New Roman" w:cs="Times New Roman"/>
      <w:snapToGrid w:val="0"/>
      <w:sz w:val="20"/>
      <w:szCs w:val="20"/>
    </w:rPr>
  </w:style>
  <w:style w:type="paragraph" w:customStyle="1" w:styleId="SectionHeadings">
    <w:name w:val="Section Headings"/>
    <w:link w:val="SectionHeadingsChar"/>
    <w:qFormat/>
    <w:rsid w:val="00992284"/>
    <w:pPr>
      <w:spacing w:before="240" w:after="240" w:line="240" w:lineRule="auto"/>
      <w:ind w:left="1080" w:right="720" w:hanging="360"/>
      <w:jc w:val="both"/>
    </w:pPr>
    <w:rPr>
      <w:rFonts w:ascii="Times New Roman" w:eastAsia="Times New Roman" w:hAnsi="Times New Roman" w:cs="Times New Roman"/>
      <w:b/>
      <w:i/>
      <w:snapToGrid w:val="0"/>
      <w:sz w:val="24"/>
      <w:szCs w:val="20"/>
      <w:u w:val="single"/>
    </w:rPr>
  </w:style>
  <w:style w:type="character" w:customStyle="1" w:styleId="SubpartChar">
    <w:name w:val="Subpart Char"/>
    <w:basedOn w:val="FOFNumberedChar"/>
    <w:link w:val="Subpart"/>
    <w:rsid w:val="009419EF"/>
    <w:rPr>
      <w:rFonts w:ascii="Times New Roman" w:eastAsia="Times New Roman" w:hAnsi="Times New Roman" w:cs="Times New Roman"/>
      <w:snapToGrid w:val="0"/>
      <w:sz w:val="24"/>
      <w:szCs w:val="20"/>
    </w:rPr>
  </w:style>
  <w:style w:type="paragraph" w:customStyle="1" w:styleId="Discussion">
    <w:name w:val="Discussion"/>
    <w:basedOn w:val="BodyTextA"/>
    <w:link w:val="DiscussionChar"/>
    <w:rsid w:val="00F11EAC"/>
    <w:pPr>
      <w:spacing w:before="240" w:after="240"/>
      <w:ind w:left="720" w:right="720" w:firstLine="0"/>
    </w:pPr>
    <w:rPr>
      <w:szCs w:val="24"/>
    </w:rPr>
  </w:style>
  <w:style w:type="character" w:customStyle="1" w:styleId="SectionHeadingsChar">
    <w:name w:val="Section Headings Char"/>
    <w:basedOn w:val="FOFNumberedChar"/>
    <w:link w:val="SectionHeadings"/>
    <w:rsid w:val="00992284"/>
    <w:rPr>
      <w:rFonts w:ascii="Times New Roman" w:eastAsia="Times New Roman" w:hAnsi="Times New Roman" w:cs="Times New Roman"/>
      <w:b/>
      <w:i/>
      <w:snapToGrid w:val="0"/>
      <w:sz w:val="24"/>
      <w:szCs w:val="20"/>
      <w:u w:val="single"/>
    </w:rPr>
  </w:style>
  <w:style w:type="character" w:customStyle="1" w:styleId="DiscussionChar">
    <w:name w:val="Discussion Char"/>
    <w:basedOn w:val="BodyTextAChar"/>
    <w:link w:val="Discussion"/>
    <w:rsid w:val="00F11EAC"/>
    <w:rPr>
      <w:rFonts w:ascii="Times New Roman" w:eastAsia="Times New Roman" w:hAnsi="Times New Roman" w:cs="Times New Roman"/>
      <w:sz w:val="24"/>
      <w:szCs w:val="24"/>
    </w:rPr>
  </w:style>
  <w:style w:type="paragraph" w:customStyle="1" w:styleId="filepath">
    <w:name w:val="filepath"/>
    <w:basedOn w:val="Normal"/>
    <w:qFormat/>
    <w:rsid w:val="00496E86"/>
  </w:style>
  <w:style w:type="paragraph" w:customStyle="1" w:styleId="FOFCOLOPIssue">
    <w:name w:val="FOF/COL/OP/Issue"/>
    <w:basedOn w:val="FOFCOLOP"/>
    <w:link w:val="FOFCOLOPIssueChar"/>
    <w:qFormat/>
    <w:rsid w:val="009419EF"/>
    <w:pPr>
      <w:ind w:right="720"/>
    </w:pPr>
  </w:style>
  <w:style w:type="character" w:customStyle="1" w:styleId="FOFCOLOPIssueChar">
    <w:name w:val="FOF/COL/OP/Issue Char"/>
    <w:basedOn w:val="FOFCOLOPChar"/>
    <w:link w:val="FOFCOLOPIssue"/>
    <w:rsid w:val="009419EF"/>
    <w:rPr>
      <w:rFonts w:ascii="Times New Roman" w:eastAsia="Times New Roman" w:hAnsi="Times New Roman" w:cs="Times New Roman"/>
      <w:snapToGrid w:val="0"/>
      <w:sz w:val="24"/>
      <w:szCs w:val="20"/>
    </w:rPr>
  </w:style>
  <w:style w:type="paragraph" w:customStyle="1" w:styleId="ListA">
    <w:name w:val="List A"/>
    <w:basedOn w:val="BodyTextA"/>
    <w:next w:val="ListB"/>
    <w:link w:val="ListAChar"/>
    <w:qFormat/>
    <w:rsid w:val="00FC3C20"/>
    <w:pPr>
      <w:tabs>
        <w:tab w:val="left" w:pos="1980"/>
      </w:tabs>
      <w:spacing w:before="240"/>
      <w:ind w:left="1440" w:hanging="720"/>
    </w:pPr>
  </w:style>
  <w:style w:type="paragraph" w:customStyle="1" w:styleId="ListB">
    <w:name w:val="List B"/>
    <w:basedOn w:val="ListA"/>
    <w:link w:val="ListBChar"/>
    <w:qFormat/>
    <w:rsid w:val="00FC3C20"/>
    <w:pPr>
      <w:spacing w:before="120"/>
      <w:ind w:right="720"/>
    </w:pPr>
  </w:style>
  <w:style w:type="character" w:customStyle="1" w:styleId="ListAChar">
    <w:name w:val="List A Char"/>
    <w:basedOn w:val="BodyTextAChar"/>
    <w:link w:val="ListA"/>
    <w:rsid w:val="00FC3C20"/>
    <w:rPr>
      <w:rFonts w:ascii="Times New Roman" w:eastAsia="Times New Roman" w:hAnsi="Times New Roman" w:cs="Times New Roman"/>
      <w:sz w:val="24"/>
      <w:szCs w:val="20"/>
    </w:rPr>
  </w:style>
  <w:style w:type="paragraph" w:customStyle="1" w:styleId="ListC">
    <w:name w:val="List C"/>
    <w:basedOn w:val="ListB"/>
    <w:next w:val="BodyTextA"/>
    <w:link w:val="ListCChar"/>
    <w:qFormat/>
    <w:rsid w:val="00FC3C20"/>
    <w:pPr>
      <w:spacing w:after="240"/>
    </w:pPr>
  </w:style>
  <w:style w:type="character" w:customStyle="1" w:styleId="ListBChar">
    <w:name w:val="List B Char"/>
    <w:basedOn w:val="ListAChar"/>
    <w:link w:val="ListB"/>
    <w:rsid w:val="00FC3C20"/>
    <w:rPr>
      <w:rFonts w:ascii="Times New Roman" w:eastAsia="Times New Roman" w:hAnsi="Times New Roman" w:cs="Times New Roman"/>
      <w:sz w:val="24"/>
      <w:szCs w:val="20"/>
    </w:rPr>
  </w:style>
  <w:style w:type="paragraph" w:customStyle="1" w:styleId="ListS1">
    <w:name w:val="List S1"/>
    <w:basedOn w:val="ListB"/>
    <w:link w:val="ListS1Char"/>
    <w:qFormat/>
    <w:rsid w:val="00FC3C20"/>
    <w:pPr>
      <w:tabs>
        <w:tab w:val="clear" w:pos="1980"/>
        <w:tab w:val="left" w:pos="2340"/>
      </w:tabs>
      <w:ind w:left="1800"/>
    </w:pPr>
  </w:style>
  <w:style w:type="character" w:customStyle="1" w:styleId="ListCChar">
    <w:name w:val="List C Char"/>
    <w:basedOn w:val="ListBChar"/>
    <w:link w:val="ListC"/>
    <w:rsid w:val="00FC3C20"/>
    <w:rPr>
      <w:rFonts w:ascii="Times New Roman" w:eastAsia="Times New Roman" w:hAnsi="Times New Roman" w:cs="Times New Roman"/>
      <w:sz w:val="24"/>
      <w:szCs w:val="20"/>
    </w:rPr>
  </w:style>
  <w:style w:type="paragraph" w:customStyle="1" w:styleId="ListS2">
    <w:name w:val="List S2"/>
    <w:basedOn w:val="ListS1"/>
    <w:next w:val="BodyTextA"/>
    <w:link w:val="ListS2Char"/>
    <w:qFormat/>
    <w:rsid w:val="00FC3C20"/>
    <w:pPr>
      <w:spacing w:after="240"/>
    </w:pPr>
  </w:style>
  <w:style w:type="character" w:customStyle="1" w:styleId="ListS1Char">
    <w:name w:val="List S1 Char"/>
    <w:basedOn w:val="ListBChar"/>
    <w:link w:val="ListS1"/>
    <w:rsid w:val="00FC3C20"/>
    <w:rPr>
      <w:rFonts w:ascii="Times New Roman" w:eastAsia="Times New Roman" w:hAnsi="Times New Roman" w:cs="Times New Roman"/>
      <w:sz w:val="24"/>
      <w:szCs w:val="20"/>
    </w:rPr>
  </w:style>
  <w:style w:type="character" w:customStyle="1" w:styleId="ListS2Char">
    <w:name w:val="List S2 Char"/>
    <w:basedOn w:val="ListS1Char"/>
    <w:link w:val="ListS2"/>
    <w:rsid w:val="00FC3C20"/>
    <w:rPr>
      <w:rFonts w:ascii="Times New Roman" w:eastAsia="Times New Roman" w:hAnsi="Times New Roman" w:cs="Times New Roman"/>
      <w:sz w:val="24"/>
      <w:szCs w:val="20"/>
    </w:rPr>
  </w:style>
  <w:style w:type="paragraph" w:customStyle="1" w:styleId="OrderingParagraph">
    <w:name w:val="Ordering Paragraph"/>
    <w:basedOn w:val="FOFNumbered"/>
    <w:link w:val="OrderingParagraphChar"/>
    <w:uiPriority w:val="2"/>
    <w:qFormat/>
    <w:rsid w:val="000739D9"/>
    <w:pPr>
      <w:numPr>
        <w:numId w:val="18"/>
      </w:numPr>
    </w:pPr>
  </w:style>
  <w:style w:type="character" w:customStyle="1" w:styleId="OrderingParagraphChar">
    <w:name w:val="Ordering Paragraph Char"/>
    <w:basedOn w:val="DefaultParagraphFont"/>
    <w:link w:val="OrderingParagraph"/>
    <w:uiPriority w:val="2"/>
    <w:rsid w:val="000739D9"/>
    <w:rPr>
      <w:rFonts w:ascii="Times New Roman" w:eastAsia="Times New Roman" w:hAnsi="Times New Roman" w:cs="Times New Roman"/>
      <w:snapToGrid w:val="0"/>
      <w:sz w:val="24"/>
      <w:szCs w:val="20"/>
    </w:rPr>
  </w:style>
  <w:style w:type="paragraph" w:customStyle="1" w:styleId="xxmsonormal">
    <w:name w:val="x_x_msonormal"/>
    <w:basedOn w:val="Normal"/>
    <w:rsid w:val="0055112D"/>
    <w:rPr>
      <w:rFonts w:ascii="Calibri" w:eastAsiaTheme="minorHAnsi" w:hAnsi="Calibri" w:cs="Calibri"/>
      <w:sz w:val="22"/>
      <w:szCs w:val="22"/>
    </w:rPr>
  </w:style>
  <w:style w:type="paragraph" w:customStyle="1" w:styleId="preamble">
    <w:name w:val="preamble"/>
    <w:basedOn w:val="Normal"/>
    <w:rsid w:val="0055112D"/>
    <w:pPr>
      <w:spacing w:line="480" w:lineRule="auto"/>
      <w:jc w:val="both"/>
    </w:pPr>
    <w:rPr>
      <w:sz w:val="24"/>
    </w:rPr>
  </w:style>
  <w:style w:type="character" w:styleId="FollowedHyperlink">
    <w:name w:val="FollowedHyperlink"/>
    <w:basedOn w:val="DefaultParagraphFont"/>
    <w:uiPriority w:val="99"/>
    <w:semiHidden/>
    <w:unhideWhenUsed/>
    <w:rsid w:val="00EC7D86"/>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7983500">
      <w:bodyDiv w:val="1"/>
      <w:marLeft w:val="0"/>
      <w:marRight w:val="0"/>
      <w:marTop w:val="0"/>
      <w:marBottom w:val="0"/>
      <w:divBdr>
        <w:top w:val="none" w:sz="0" w:space="0" w:color="auto"/>
        <w:left w:val="none" w:sz="0" w:space="0" w:color="auto"/>
        <w:bottom w:val="none" w:sz="0" w:space="0" w:color="auto"/>
        <w:right w:val="none" w:sz="0" w:space="0" w:color="auto"/>
      </w:divBdr>
    </w:div>
    <w:div w:id="187377785">
      <w:bodyDiv w:val="1"/>
      <w:marLeft w:val="0"/>
      <w:marRight w:val="0"/>
      <w:marTop w:val="0"/>
      <w:marBottom w:val="0"/>
      <w:divBdr>
        <w:top w:val="none" w:sz="0" w:space="0" w:color="auto"/>
        <w:left w:val="none" w:sz="0" w:space="0" w:color="auto"/>
        <w:bottom w:val="none" w:sz="0" w:space="0" w:color="auto"/>
        <w:right w:val="none" w:sz="0" w:space="0" w:color="auto"/>
      </w:divBdr>
    </w:div>
    <w:div w:id="330178790">
      <w:bodyDiv w:val="1"/>
      <w:marLeft w:val="0"/>
      <w:marRight w:val="0"/>
      <w:marTop w:val="0"/>
      <w:marBottom w:val="0"/>
      <w:divBdr>
        <w:top w:val="none" w:sz="0" w:space="0" w:color="auto"/>
        <w:left w:val="none" w:sz="0" w:space="0" w:color="auto"/>
        <w:bottom w:val="none" w:sz="0" w:space="0" w:color="auto"/>
        <w:right w:val="none" w:sz="0" w:space="0" w:color="auto"/>
      </w:divBdr>
    </w:div>
    <w:div w:id="1056860094">
      <w:bodyDiv w:val="1"/>
      <w:marLeft w:val="0"/>
      <w:marRight w:val="0"/>
      <w:marTop w:val="0"/>
      <w:marBottom w:val="0"/>
      <w:divBdr>
        <w:top w:val="none" w:sz="0" w:space="0" w:color="auto"/>
        <w:left w:val="none" w:sz="0" w:space="0" w:color="auto"/>
        <w:bottom w:val="none" w:sz="0" w:space="0" w:color="auto"/>
        <w:right w:val="none" w:sz="0" w:space="0" w:color="auto"/>
      </w:divBdr>
      <w:divsChild>
        <w:div w:id="937517548">
          <w:marLeft w:val="0"/>
          <w:marRight w:val="0"/>
          <w:marTop w:val="0"/>
          <w:marBottom w:val="0"/>
          <w:divBdr>
            <w:top w:val="none" w:sz="0" w:space="0" w:color="auto"/>
            <w:left w:val="none" w:sz="0" w:space="0" w:color="auto"/>
            <w:bottom w:val="none" w:sz="0" w:space="0" w:color="auto"/>
            <w:right w:val="none" w:sz="0" w:space="0" w:color="auto"/>
          </w:divBdr>
        </w:div>
      </w:divsChild>
    </w:div>
    <w:div w:id="1219560558">
      <w:bodyDiv w:val="1"/>
      <w:marLeft w:val="0"/>
      <w:marRight w:val="0"/>
      <w:marTop w:val="0"/>
      <w:marBottom w:val="0"/>
      <w:divBdr>
        <w:top w:val="none" w:sz="0" w:space="0" w:color="auto"/>
        <w:left w:val="none" w:sz="0" w:space="0" w:color="auto"/>
        <w:bottom w:val="none" w:sz="0" w:space="0" w:color="auto"/>
        <w:right w:val="none" w:sz="0" w:space="0" w:color="auto"/>
      </w:divBdr>
      <w:divsChild>
        <w:div w:id="27076015">
          <w:marLeft w:val="0"/>
          <w:marRight w:val="0"/>
          <w:marTop w:val="0"/>
          <w:marBottom w:val="0"/>
          <w:divBdr>
            <w:top w:val="none" w:sz="0" w:space="0" w:color="auto"/>
            <w:left w:val="none" w:sz="0" w:space="0" w:color="auto"/>
            <w:bottom w:val="none" w:sz="0" w:space="0" w:color="auto"/>
            <w:right w:val="none" w:sz="0" w:space="0" w:color="auto"/>
          </w:divBdr>
        </w:div>
      </w:divsChild>
    </w:div>
    <w:div w:id="1360662582">
      <w:bodyDiv w:val="1"/>
      <w:marLeft w:val="0"/>
      <w:marRight w:val="0"/>
      <w:marTop w:val="0"/>
      <w:marBottom w:val="0"/>
      <w:divBdr>
        <w:top w:val="none" w:sz="0" w:space="0" w:color="auto"/>
        <w:left w:val="none" w:sz="0" w:space="0" w:color="auto"/>
        <w:bottom w:val="none" w:sz="0" w:space="0" w:color="auto"/>
        <w:right w:val="none" w:sz="0" w:space="0" w:color="auto"/>
      </w:divBdr>
    </w:div>
    <w:div w:id="1419671402">
      <w:bodyDiv w:val="1"/>
      <w:marLeft w:val="0"/>
      <w:marRight w:val="0"/>
      <w:marTop w:val="0"/>
      <w:marBottom w:val="0"/>
      <w:divBdr>
        <w:top w:val="none" w:sz="0" w:space="0" w:color="auto"/>
        <w:left w:val="none" w:sz="0" w:space="0" w:color="auto"/>
        <w:bottom w:val="none" w:sz="0" w:space="0" w:color="auto"/>
        <w:right w:val="none" w:sz="0" w:space="0" w:color="auto"/>
      </w:divBdr>
      <w:divsChild>
        <w:div w:id="57174326">
          <w:marLeft w:val="0"/>
          <w:marRight w:val="0"/>
          <w:marTop w:val="0"/>
          <w:marBottom w:val="0"/>
          <w:divBdr>
            <w:top w:val="none" w:sz="0" w:space="0" w:color="auto"/>
            <w:left w:val="none" w:sz="0" w:space="0" w:color="auto"/>
            <w:bottom w:val="none" w:sz="0" w:space="0" w:color="auto"/>
            <w:right w:val="none" w:sz="0" w:space="0" w:color="auto"/>
          </w:divBdr>
        </w:div>
      </w:divsChild>
    </w:div>
    <w:div w:id="1460949818">
      <w:bodyDiv w:val="1"/>
      <w:marLeft w:val="0"/>
      <w:marRight w:val="0"/>
      <w:marTop w:val="0"/>
      <w:marBottom w:val="0"/>
      <w:divBdr>
        <w:top w:val="none" w:sz="0" w:space="0" w:color="auto"/>
        <w:left w:val="none" w:sz="0" w:space="0" w:color="auto"/>
        <w:bottom w:val="none" w:sz="0" w:space="0" w:color="auto"/>
        <w:right w:val="none" w:sz="0" w:space="0" w:color="auto"/>
      </w:divBdr>
    </w:div>
    <w:div w:id="1711606409">
      <w:bodyDiv w:val="1"/>
      <w:marLeft w:val="0"/>
      <w:marRight w:val="0"/>
      <w:marTop w:val="0"/>
      <w:marBottom w:val="0"/>
      <w:divBdr>
        <w:top w:val="none" w:sz="0" w:space="0" w:color="auto"/>
        <w:left w:val="none" w:sz="0" w:space="0" w:color="auto"/>
        <w:bottom w:val="none" w:sz="0" w:space="0" w:color="auto"/>
        <w:right w:val="none" w:sz="0" w:space="0" w:color="auto"/>
      </w:divBdr>
    </w:div>
    <w:div w:id="1718890870">
      <w:bodyDiv w:val="1"/>
      <w:marLeft w:val="0"/>
      <w:marRight w:val="0"/>
      <w:marTop w:val="0"/>
      <w:marBottom w:val="0"/>
      <w:divBdr>
        <w:top w:val="none" w:sz="0" w:space="0" w:color="auto"/>
        <w:left w:val="none" w:sz="0" w:space="0" w:color="auto"/>
        <w:bottom w:val="none" w:sz="0" w:space="0" w:color="auto"/>
        <w:right w:val="none" w:sz="0" w:space="0" w:color="auto"/>
      </w:divBdr>
    </w:div>
    <w:div w:id="18981298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CCAC0C-712A-402E-87E9-862539D5A8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5161</TotalTime>
  <Pages>5</Pages>
  <Words>1382</Words>
  <Characters>7878</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Public Utility Commission of Texas</Company>
  <LinksUpToDate>false</LinksUpToDate>
  <CharactersWithSpaces>9242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Scheifler, Alexander</dc:creator>
  <cp:keywords/>
  <dc:description/>
  <cp:lastModifiedBy>Rebecca Zerwas</cp:lastModifiedBy>
  <cp:revision>57</cp:revision>
  <cp:lastPrinted>2021-12-15T20:34:00Z</cp:lastPrinted>
  <dcterms:created xsi:type="dcterms:W3CDTF">2021-08-17T17:40:00Z</dcterms:created>
  <dcterms:modified xsi:type="dcterms:W3CDTF">2021-12-15T20:43:00Z</dcterms:modified>
</cp:coreProperties>
</file>